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475E49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475E49">
        <w:rPr>
          <w:rFonts w:asciiTheme="majorHAnsi" w:hAnsiTheme="majorHAnsi"/>
          <w:b/>
          <w:color w:val="1F497D" w:themeColor="text2"/>
          <w:sz w:val="28"/>
          <w:szCs w:val="28"/>
        </w:rPr>
        <w:t>Metodický pokyn</w:t>
      </w:r>
    </w:p>
    <w:p w:rsidR="00475E49" w:rsidRPr="00475E49" w:rsidRDefault="00475E49" w:rsidP="00475E49">
      <w:pPr>
        <w:pStyle w:val="Bezmezer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E339B" w:rsidP="00DD5D98">
            <w:r>
              <w:t>Jaroslava Švecová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E339B" w:rsidP="00DD5D98">
            <w:r>
              <w:t>Základy elektrotechniky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0A71C1" w:rsidP="00DD5D98">
            <w:r>
              <w:t xml:space="preserve">Řešení el. </w:t>
            </w:r>
            <w:proofErr w:type="gramStart"/>
            <w:r>
              <w:t>obvodů</w:t>
            </w:r>
            <w:proofErr w:type="gramEnd"/>
            <w:r>
              <w:t xml:space="preserve"> metodou smyčkových proudů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0A71C1" w:rsidP="008A6F83">
            <w:proofErr w:type="spellStart"/>
            <w:r>
              <w:t>Reseni</w:t>
            </w:r>
            <w:proofErr w:type="spellEnd"/>
            <w:r>
              <w:t xml:space="preserve"> obvodu-matice-</w:t>
            </w:r>
            <w:r w:rsidR="008A6F83">
              <w:t>3</w:t>
            </w:r>
            <w:r>
              <w:t>smycky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E633EA" w:rsidP="00DD5D98">
      <w:r>
        <w:t>Tento materiál je určen pro p</w:t>
      </w:r>
      <w:r w:rsidR="000A71C1">
        <w:t>ředmět Základy elektrotechniky 1</w:t>
      </w:r>
      <w:r>
        <w:t>. roč. (resp. Elektronika</w:t>
      </w:r>
      <w:r w:rsidR="000A71C1">
        <w:t xml:space="preserve"> 2. roč.</w:t>
      </w:r>
      <w:r>
        <w:t xml:space="preserve">). Probíraná látka je </w:t>
      </w:r>
      <w:r w:rsidR="00014795">
        <w:t>„</w:t>
      </w:r>
      <w:r w:rsidR="000A71C1">
        <w:t>Řešení elektrických obvodů metodou smyčkových proudů</w:t>
      </w:r>
      <w:r w:rsidR="00014795">
        <w:t>“</w:t>
      </w:r>
      <w:r w:rsidR="00463C86">
        <w:t xml:space="preserve">, která </w:t>
      </w:r>
      <w:r w:rsidR="00014795">
        <w:t>je</w:t>
      </w:r>
      <w:r w:rsidR="00463C86">
        <w:t xml:space="preserve"> </w:t>
      </w:r>
      <w:r w:rsidR="000A71C1">
        <w:t>součástí kapitoly „Metody řešení elektronických obvodů“.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D5D98" w:rsidRDefault="00EC35B1" w:rsidP="00DD5D98">
      <w:r>
        <w:t xml:space="preserve">Materiál slouží vyučujícím a žákům oboru Elektrotechnika. Žáci by měli mít </w:t>
      </w:r>
      <w:r w:rsidR="00D37D48">
        <w:t xml:space="preserve">představu o tom, co je lineární el. </w:t>
      </w:r>
      <w:proofErr w:type="gramStart"/>
      <w:r w:rsidR="00D37D48">
        <w:t>obvod</w:t>
      </w:r>
      <w:proofErr w:type="gramEnd"/>
      <w:r w:rsidR="00D37D48">
        <w:t xml:space="preserve">. Měli by rozumět pojmům smyčka a uzel v obvodu, znát a umět použít </w:t>
      </w:r>
      <w:proofErr w:type="spellStart"/>
      <w:r w:rsidR="00D37D48">
        <w:t>Kirchhoffovy</w:t>
      </w:r>
      <w:proofErr w:type="spellEnd"/>
      <w:r w:rsidR="00D37D48">
        <w:t xml:space="preserve"> zákony a Ohmův zákon. </w:t>
      </w:r>
      <w:r w:rsidR="00E246CF">
        <w:t>Ty</w:t>
      </w:r>
      <w:r w:rsidR="0035342C">
        <w:t>to</w:t>
      </w:r>
      <w:r w:rsidR="00E246CF">
        <w:t xml:space="preserve"> potom aplikují při sestavování rovnic pro jednotlivé smyčky.</w:t>
      </w:r>
      <w:r w:rsidR="00D37D48">
        <w:t xml:space="preserve"> Předpokládá se alespoň částečná znalost</w:t>
      </w:r>
      <w:r w:rsidR="00E246CF">
        <w:t xml:space="preserve"> maticového počtu, i když žáci nemusejí znát násobení matic. Je pouze nutné sestavit jednotlivé matice a rozumět pojmům sloupcová a čtvercová matice. V první části souboru je teoretický rozbor úlohy. Následuje postup řešení s konkrétními hodnotami součástek a zhodnocení výsledků řešení. Tato část</w:t>
      </w:r>
      <w:r w:rsidR="00265A36">
        <w:t xml:space="preserve"> </w:t>
      </w:r>
      <w:r w:rsidR="00F3299C">
        <w:t>souboru je určena k demonstrování dané problematiky vyučujícím. Na konci jsou příklady na praktické procvičení určené pro žáky s pomocí vyučujícího.</w:t>
      </w:r>
      <w:r w:rsidR="00014795">
        <w:t xml:space="preserve"> Cílem je, aby žáci získali představu </w:t>
      </w:r>
      <w:r w:rsidR="0035342C">
        <w:t>na</w:t>
      </w:r>
      <w:r w:rsidR="00E246CF">
        <w:t xml:space="preserve"> řešení obvodů s více </w:t>
      </w:r>
      <w:r w:rsidR="005B7060">
        <w:t>smyčkami pomocí matic</w:t>
      </w:r>
      <w:r w:rsidR="007474D7">
        <w:t xml:space="preserve"> s </w:t>
      </w:r>
      <w:r w:rsidR="0035342C">
        <w:t>využitím</w:t>
      </w:r>
      <w:r w:rsidR="007474D7">
        <w:t xml:space="preserve"> programu Wolfram </w:t>
      </w:r>
      <w:proofErr w:type="spellStart"/>
      <w:r w:rsidR="007474D7">
        <w:t>Mathematica</w:t>
      </w:r>
      <w:proofErr w:type="spellEnd"/>
      <w:r w:rsidR="005B7060">
        <w:t xml:space="preserve">. </w:t>
      </w:r>
      <w:r w:rsidR="00014795">
        <w:t xml:space="preserve">Při ukázce žák použije program Wolfram </w:t>
      </w:r>
      <w:proofErr w:type="spellStart"/>
      <w:r w:rsidR="00014795">
        <w:t>Mathematica</w:t>
      </w:r>
      <w:proofErr w:type="spellEnd"/>
      <w:r w:rsidR="00014795">
        <w:t xml:space="preserve"> pasivně. Při samotném procvičování na příkladech používá</w:t>
      </w:r>
      <w:r w:rsidR="003F3CEE">
        <w:t xml:space="preserve"> </w:t>
      </w:r>
      <w:proofErr w:type="spellStart"/>
      <w:r w:rsidR="00014795">
        <w:t>Mathematicu</w:t>
      </w:r>
      <w:proofErr w:type="spellEnd"/>
      <w:r w:rsidR="00014795">
        <w:t xml:space="preserve"> aktivně.</w:t>
      </w:r>
    </w:p>
    <w:p w:rsidR="00923225" w:rsidRDefault="00923225" w:rsidP="00DD5D98"/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E12C69" w:rsidRPr="00E12C69" w:rsidRDefault="00A6361E" w:rsidP="00A6361E">
      <w:pPr>
        <w:rPr>
          <w:rFonts w:eastAsiaTheme="minorEastAsia"/>
        </w:rPr>
      </w:pPr>
      <w:r>
        <w:t>V tomto souboru byly využity příkazy</w:t>
      </w:r>
      <w:r w:rsidR="005E0725">
        <w:t xml:space="preserve"> </w:t>
      </w:r>
      <m:oMath>
        <m:r>
          <m:rPr>
            <m:sty m:val="p"/>
          </m:rPr>
          <w:rPr>
            <w:rFonts w:ascii="Cambria Math" w:hAnsi="Cambria Math"/>
          </w:rPr>
          <m:t>MatrixForm</m:t>
        </m:r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matR</m:t>
        </m:r>
        <m:r>
          <w:rPr>
            <w:rFonts w:ascii="Cambria Math" w:hAnsi="Cambria Math"/>
          </w:rPr>
          <m:t>]</m:t>
        </m:r>
      </m:oMath>
      <w:r w:rsidR="005E0725">
        <w:rPr>
          <w:rFonts w:eastAsiaTheme="minorEastAsia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</w:rPr>
          <m:t>Solve</m:t>
        </m:r>
        <m:r>
          <w:rPr>
            <w:rFonts w:ascii="Cambria Math" w:eastAsiaTheme="minorEastAsia" w:hAnsi="Cambria Math"/>
          </w:rPr>
          <m:t>[</m:t>
        </m:r>
        <m:r>
          <m:rPr>
            <m:sty m:val="p"/>
          </m:rPr>
          <w:rPr>
            <w:rFonts w:ascii="Cambria Math" w:eastAsiaTheme="minorEastAsia" w:hAnsi="Cambria Math"/>
          </w:rPr>
          <m:t>matR</m:t>
        </m:r>
        <m:r>
          <w:rPr>
            <w:rFonts w:ascii="Cambria Math" w:eastAsiaTheme="minorEastAsia" w:hAnsi="Cambria Math"/>
          </w:rPr>
          <m:t>.</m:t>
        </m:r>
        <m:r>
          <m:rPr>
            <m:sty m:val="p"/>
          </m:rPr>
          <w:rPr>
            <w:rFonts w:ascii="Cambria Math" w:eastAsiaTheme="minorEastAsia" w:hAnsi="Cambria Math"/>
          </w:rPr>
          <m:t>matI</m:t>
        </m:r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matU</m:t>
        </m:r>
        <m:r>
          <w:rPr>
            <w:rFonts w:ascii="Cambria Math" w:eastAsiaTheme="minorEastAsia" w:hAnsi="Cambria Math"/>
          </w:rPr>
          <m:t>,{</m:t>
        </m:r>
        <m:r>
          <m:rPr>
            <m:sty m:val="p"/>
          </m:rPr>
          <w:rPr>
            <w:rFonts w:ascii="Cambria Math" w:eastAsiaTheme="minorEastAsia" w:hAnsi="Cambria Math"/>
          </w:rPr>
          <m:t>Ia</m:t>
        </m:r>
        <m: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>Ib</m:t>
        </m:r>
        <m: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>Ic</m:t>
        </m:r>
        <m:r>
          <w:rPr>
            <w:rFonts w:ascii="Cambria Math" w:eastAsiaTheme="minorEastAsia" w:hAnsi="Cambria Math"/>
          </w:rPr>
          <m:t>}]</m:t>
        </m:r>
      </m:oMath>
      <w:r w:rsidR="00460DD5">
        <w:rPr>
          <w:rFonts w:eastAsiaTheme="minorEastAsia"/>
        </w:rPr>
        <w:t>.</w:t>
      </w:r>
      <w:r w:rsidR="00E12C69">
        <w:rPr>
          <w:rFonts w:eastAsiaTheme="minorEastAsia"/>
        </w:rPr>
        <w:t xml:space="preserve"> Nejprve musí být definovaná </w:t>
      </w:r>
      <w:r w:rsidR="005E0725">
        <w:rPr>
          <w:rFonts w:eastAsiaTheme="minorEastAsia"/>
        </w:rPr>
        <w:t xml:space="preserve">matice např. </w:t>
      </w:r>
      <m:oMath>
        <m:r>
          <m:rPr>
            <m:sty m:val="p"/>
          </m:rPr>
          <w:rPr>
            <w:rFonts w:ascii="Cambria Math" w:eastAsiaTheme="minorEastAsia" w:hAnsi="Cambria Math"/>
          </w:rPr>
          <m:t>matI</m:t>
        </m:r>
        <m:r>
          <w:rPr>
            <w:rFonts w:ascii="Cambria Math" w:eastAsiaTheme="minorEastAsia" w:hAnsi="Cambria Math"/>
          </w:rPr>
          <m:t>={{</m:t>
        </m:r>
        <m:r>
          <m:rPr>
            <m:sty m:val="p"/>
          </m:rPr>
          <w:rPr>
            <w:rFonts w:ascii="Cambria Math" w:eastAsiaTheme="minorEastAsia" w:hAnsi="Cambria Math"/>
          </w:rPr>
          <m:t>Ia</m:t>
        </m:r>
        <m:r>
          <w:rPr>
            <w:rFonts w:ascii="Cambria Math" w:eastAsiaTheme="minorEastAsia" w:hAnsi="Cambria Math"/>
          </w:rPr>
          <m:t>},{</m:t>
        </m:r>
        <m:r>
          <m:rPr>
            <m:sty m:val="p"/>
          </m:rPr>
          <w:rPr>
            <w:rFonts w:ascii="Cambria Math" w:eastAsiaTheme="minorEastAsia" w:hAnsi="Cambria Math"/>
          </w:rPr>
          <m:t>Ib</m:t>
        </m:r>
        <m:r>
          <w:rPr>
            <w:rFonts w:ascii="Cambria Math" w:eastAsiaTheme="minorEastAsia" w:hAnsi="Cambria Math"/>
          </w:rPr>
          <m:t>},{</m:t>
        </m:r>
        <m:r>
          <m:rPr>
            <m:sty m:val="p"/>
          </m:rPr>
          <w:rPr>
            <w:rFonts w:ascii="Cambria Math" w:eastAsiaTheme="minorEastAsia" w:hAnsi="Cambria Math"/>
          </w:rPr>
          <m:t>Ic</m:t>
        </m:r>
        <m:r>
          <w:rPr>
            <w:rFonts w:ascii="Cambria Math" w:eastAsiaTheme="minorEastAsia" w:hAnsi="Cambria Math"/>
          </w:rPr>
          <m:t>}}</m:t>
        </m:r>
      </m:oMath>
      <w:r w:rsidR="005E0725">
        <w:rPr>
          <w:rFonts w:eastAsiaTheme="minorEastAsia"/>
        </w:rPr>
        <w:t>.</w:t>
      </w:r>
      <w:r w:rsidR="005E0725" w:rsidRPr="005E0725">
        <w:rPr>
          <w:rFonts w:eastAsiaTheme="minorEastAsia"/>
        </w:rPr>
        <w:t xml:space="preserve"> </w:t>
      </w:r>
      <w:r w:rsidR="005E0725">
        <w:rPr>
          <w:rFonts w:eastAsiaTheme="minorEastAsia"/>
        </w:rPr>
        <w:t xml:space="preserve">Jde o sloupcovou matici neznámých smyčkových proudů. </w:t>
      </w:r>
      <w:r w:rsidR="000E5134">
        <w:rPr>
          <w:rFonts w:eastAsiaTheme="minorEastAsia"/>
        </w:rPr>
        <w:t xml:space="preserve">Příkaz </w:t>
      </w:r>
      <m:oMath>
        <m:r>
          <m:rPr>
            <m:sty m:val="p"/>
          </m:rPr>
          <w:rPr>
            <w:rFonts w:ascii="Cambria Math" w:hAnsi="Cambria Math"/>
          </w:rPr>
          <m:t>MatrixForm</m:t>
        </m:r>
        <m:r>
          <w:rPr>
            <w:rFonts w:ascii="Cambria Math" w:hAnsi="Cambria Math"/>
          </w:rPr>
          <m:t>[</m:t>
        </m:r>
        <m:r>
          <m:rPr>
            <m:sty m:val="p"/>
          </m:rPr>
          <w:rPr>
            <w:rFonts w:ascii="Cambria Math" w:hAnsi="Cambria Math"/>
          </w:rPr>
          <m:t>matR</m:t>
        </m:r>
        <m:r>
          <w:rPr>
            <w:rFonts w:ascii="Cambria Math" w:hAnsi="Cambria Math"/>
          </w:rPr>
          <m:t>]</m:t>
        </m:r>
      </m:oMath>
      <w:r w:rsidR="005E0725">
        <w:rPr>
          <w:rFonts w:eastAsiaTheme="minorEastAsia"/>
        </w:rPr>
        <w:t xml:space="preserve"> převede nadefinovanou matici do známého tvaru. Příkaz </w:t>
      </w:r>
      <m:oMath>
        <m:r>
          <m:rPr>
            <m:sty m:val="p"/>
          </m:rPr>
          <w:rPr>
            <w:rFonts w:ascii="Cambria Math" w:eastAsiaTheme="minorEastAsia" w:hAnsi="Cambria Math"/>
          </w:rPr>
          <m:t>Solve</m:t>
        </m:r>
      </m:oMath>
      <w:r w:rsidR="005E0725">
        <w:rPr>
          <w:rFonts w:eastAsiaTheme="minorEastAsia"/>
        </w:rPr>
        <w:t xml:space="preserve"> slouží k vyřešení rovnice, v našem případě </w:t>
      </w:r>
      <w:r w:rsidR="003D5BFB">
        <w:rPr>
          <w:rFonts w:eastAsiaTheme="minorEastAsia"/>
        </w:rPr>
        <w:t xml:space="preserve">k součinu matic. Musí v něm být uveden seznam neznámých veličin </w:t>
      </w:r>
      <m:oMath>
        <m:r>
          <w:rPr>
            <w:rFonts w:ascii="Cambria Math" w:eastAsiaTheme="minorEastAsia" w:hAnsi="Cambria Math"/>
          </w:rPr>
          <m:t>{</m:t>
        </m:r>
        <m:r>
          <m:rPr>
            <m:sty m:val="p"/>
          </m:rPr>
          <w:rPr>
            <w:rFonts w:ascii="Cambria Math" w:eastAsiaTheme="minorEastAsia" w:hAnsi="Cambria Math"/>
          </w:rPr>
          <m:t>Ia</m:t>
        </m:r>
        <m: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>Ib</m:t>
        </m:r>
        <m: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>Ic</m:t>
        </m:r>
        <m:r>
          <w:rPr>
            <w:rFonts w:ascii="Cambria Math" w:eastAsiaTheme="minorEastAsia" w:hAnsi="Cambria Math"/>
          </w:rPr>
          <m:t>}</m:t>
        </m:r>
      </m:oMath>
      <w:r w:rsidR="003D5BFB">
        <w:rPr>
          <w:rFonts w:eastAsiaTheme="minorEastAsia"/>
        </w:rPr>
        <w:t>, což je výsledkem řešení.</w:t>
      </w:r>
    </w:p>
    <w:p w:rsidR="00923225" w:rsidRPr="00EF7B67" w:rsidRDefault="005E3A75" w:rsidP="00DE66D8">
      <w:pPr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EF7B67">
        <w:rPr>
          <w:rFonts w:asciiTheme="majorHAnsi" w:hAnsiTheme="majorHAnsi"/>
          <w:b/>
          <w:color w:val="1F497D" w:themeColor="text2"/>
          <w:sz w:val="28"/>
          <w:szCs w:val="28"/>
        </w:rPr>
        <w:t>Shrnutí</w:t>
      </w:r>
    </w:p>
    <w:p w:rsidR="00442AB6" w:rsidRDefault="00442AB6" w:rsidP="00442AB6">
      <w:r>
        <w:lastRenderedPageBreak/>
        <w:t xml:space="preserve">Při použití tohoto programu ve vyučovací hodině bylo dosaženo cíle. Žáci si vyzkoušeli řešení obvodu metodou smyčkových proudů </w:t>
      </w:r>
      <w:r>
        <w:t xml:space="preserve">pomocí matic </w:t>
      </w:r>
      <w:r>
        <w:t xml:space="preserve">a nemuseli řešit sami soustavu </w:t>
      </w:r>
      <w:bookmarkStart w:id="0" w:name="_GoBack"/>
      <w:bookmarkEnd w:id="0"/>
      <w:r>
        <w:t>rovnic</w:t>
      </w:r>
      <w:r>
        <w:t xml:space="preserve"> maticově</w:t>
      </w:r>
      <w:r>
        <w:t>. Tím lépe poznali vliv změn parametrů obvodu na výsledné řešení.</w:t>
      </w:r>
    </w:p>
    <w:p w:rsidR="00923225" w:rsidRDefault="00923225" w:rsidP="00442AB6"/>
    <w:sectPr w:rsidR="00923225" w:rsidSect="00732E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E1" w:rsidRDefault="008F57E1" w:rsidP="00DD5D98">
      <w:pPr>
        <w:spacing w:after="0" w:line="240" w:lineRule="auto"/>
      </w:pPr>
      <w:r>
        <w:separator/>
      </w:r>
    </w:p>
  </w:endnote>
  <w:end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E1" w:rsidRDefault="008F57E1" w:rsidP="00DD5D98">
      <w:pPr>
        <w:spacing w:after="0" w:line="240" w:lineRule="auto"/>
      </w:pPr>
      <w:r>
        <w:separator/>
      </w:r>
    </w:p>
  </w:footnote>
  <w:footnote w:type="continuationSeparator" w:id="0">
    <w:p w:rsidR="008F57E1" w:rsidRDefault="008F57E1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D98"/>
    <w:rsid w:val="00014795"/>
    <w:rsid w:val="000539E1"/>
    <w:rsid w:val="000A71C1"/>
    <w:rsid w:val="000E5134"/>
    <w:rsid w:val="00193CFC"/>
    <w:rsid w:val="00265A36"/>
    <w:rsid w:val="0035342C"/>
    <w:rsid w:val="00391F72"/>
    <w:rsid w:val="003D5BFB"/>
    <w:rsid w:val="003F3CEE"/>
    <w:rsid w:val="00442AB6"/>
    <w:rsid w:val="00460DD5"/>
    <w:rsid w:val="00463C86"/>
    <w:rsid w:val="00475E49"/>
    <w:rsid w:val="0047663A"/>
    <w:rsid w:val="005B7060"/>
    <w:rsid w:val="005E0725"/>
    <w:rsid w:val="005E3A75"/>
    <w:rsid w:val="00650990"/>
    <w:rsid w:val="0069498E"/>
    <w:rsid w:val="00732ECA"/>
    <w:rsid w:val="007474D7"/>
    <w:rsid w:val="00830EA8"/>
    <w:rsid w:val="008A4F3F"/>
    <w:rsid w:val="008A6F83"/>
    <w:rsid w:val="008F57E1"/>
    <w:rsid w:val="00923225"/>
    <w:rsid w:val="009259BE"/>
    <w:rsid w:val="009E7799"/>
    <w:rsid w:val="00A572E5"/>
    <w:rsid w:val="00A6361E"/>
    <w:rsid w:val="00A86B65"/>
    <w:rsid w:val="00A96BA2"/>
    <w:rsid w:val="00BA3E92"/>
    <w:rsid w:val="00BE339B"/>
    <w:rsid w:val="00C72816"/>
    <w:rsid w:val="00D27AB6"/>
    <w:rsid w:val="00D37D48"/>
    <w:rsid w:val="00D459EB"/>
    <w:rsid w:val="00D80431"/>
    <w:rsid w:val="00DA63D9"/>
    <w:rsid w:val="00DD5D98"/>
    <w:rsid w:val="00DE66D8"/>
    <w:rsid w:val="00E12C69"/>
    <w:rsid w:val="00E246CF"/>
    <w:rsid w:val="00E633EA"/>
    <w:rsid w:val="00EC35B1"/>
    <w:rsid w:val="00EF7B67"/>
    <w:rsid w:val="00F00A80"/>
    <w:rsid w:val="00F3299C"/>
    <w:rsid w:val="00F5550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1F39A-1F2C-4686-A9DB-1B7243B8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DE6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6EA81-3A34-41E7-B4DA-6D7CDDCA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5</cp:revision>
  <dcterms:created xsi:type="dcterms:W3CDTF">2014-11-22T19:56:00Z</dcterms:created>
  <dcterms:modified xsi:type="dcterms:W3CDTF">2015-01-01T19:56:00Z</dcterms:modified>
</cp:coreProperties>
</file>