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AE" w:rsidRPr="00BE7FAE" w:rsidRDefault="00BE7FAE" w:rsidP="00BE7FAE">
      <w:pPr>
        <w:keepNext/>
        <w:keepLines/>
        <w:spacing w:before="240" w:after="0" w:line="360" w:lineRule="auto"/>
        <w:ind w:firstLine="0"/>
        <w:jc w:val="center"/>
        <w:outlineLvl w:val="0"/>
        <w:rPr>
          <w:rFonts w:ascii="Arial" w:eastAsia="Times New Roman" w:hAnsi="Arial" w:cs="Times New Roman"/>
          <w:color w:val="000000"/>
          <w:sz w:val="36"/>
          <w:szCs w:val="32"/>
        </w:rPr>
      </w:pPr>
      <w:r w:rsidRPr="00BE7FAE">
        <w:rPr>
          <w:rFonts w:ascii="Arial" w:eastAsia="Times New Roman" w:hAnsi="Arial" w:cs="Times New Roman"/>
          <w:color w:val="000000"/>
          <w:sz w:val="36"/>
          <w:szCs w:val="32"/>
        </w:rPr>
        <w:t>Metodický pokyn</w:t>
      </w:r>
    </w:p>
    <w:p w:rsidR="00BE7FAE" w:rsidRDefault="00BE7FAE" w:rsidP="00CE51C8">
      <w:pPr>
        <w:pStyle w:val="Bezmezer"/>
      </w:pPr>
    </w:p>
    <w:tbl>
      <w:tblPr>
        <w:tblStyle w:val="Mkatabulky"/>
        <w:tblpPr w:leftFromText="141" w:rightFromText="141" w:vertAnchor="text" w:horzAnchor="margin" w:tblpXSpec="center" w:tblpY="-37"/>
        <w:tblW w:w="0" w:type="auto"/>
        <w:tblLook w:val="04A0" w:firstRow="1" w:lastRow="0" w:firstColumn="1" w:lastColumn="0" w:noHBand="0" w:noVBand="1"/>
      </w:tblPr>
      <w:tblGrid>
        <w:gridCol w:w="3647"/>
        <w:gridCol w:w="3299"/>
      </w:tblGrid>
      <w:tr w:rsidR="00BE7FAE" w:rsidRPr="00914EF1" w:rsidTr="00252B15">
        <w:tc>
          <w:tcPr>
            <w:tcW w:w="3647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 w:rsidRPr="00914EF1">
              <w:rPr>
                <w:rFonts w:asciiTheme="minorHAnsi" w:hAnsiTheme="minorHAnsi"/>
              </w:rPr>
              <w:t>Projekt</w:t>
            </w:r>
          </w:p>
        </w:tc>
        <w:tc>
          <w:tcPr>
            <w:tcW w:w="3299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proofErr w:type="gramStart"/>
            <w:r w:rsidRPr="00914EF1">
              <w:rPr>
                <w:rFonts w:asciiTheme="minorHAnsi" w:hAnsiTheme="minorHAnsi"/>
              </w:rPr>
              <w:t>CZ .1.07/1.1.36/02.0066</w:t>
            </w:r>
            <w:proofErr w:type="gramEnd"/>
          </w:p>
        </w:tc>
      </w:tr>
      <w:tr w:rsidR="00BE7FAE" w:rsidRPr="00914EF1" w:rsidTr="00252B15">
        <w:tc>
          <w:tcPr>
            <w:tcW w:w="3647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 w:rsidRPr="00914EF1">
              <w:rPr>
                <w:rFonts w:asciiTheme="minorHAnsi" w:hAnsiTheme="minorHAnsi"/>
              </w:rPr>
              <w:t>Autor</w:t>
            </w:r>
          </w:p>
        </w:tc>
        <w:tc>
          <w:tcPr>
            <w:tcW w:w="3299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Mgr. Petra Kašpárková</w:t>
            </w:r>
          </w:p>
        </w:tc>
      </w:tr>
      <w:tr w:rsidR="00BE7FAE" w:rsidRPr="00914EF1" w:rsidTr="00252B15">
        <w:tc>
          <w:tcPr>
            <w:tcW w:w="3647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 w:rsidRPr="00914EF1">
              <w:rPr>
                <w:rFonts w:asciiTheme="minorHAnsi" w:hAnsiTheme="minorHAnsi"/>
              </w:rPr>
              <w:t>Předmět</w:t>
            </w:r>
          </w:p>
        </w:tc>
        <w:tc>
          <w:tcPr>
            <w:tcW w:w="3299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Chemie</w:t>
            </w:r>
          </w:p>
        </w:tc>
      </w:tr>
      <w:tr w:rsidR="00BE7FAE" w:rsidRPr="00914EF1" w:rsidTr="00252B15">
        <w:tc>
          <w:tcPr>
            <w:tcW w:w="3647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 w:rsidRPr="00914EF1">
              <w:rPr>
                <w:rFonts w:asciiTheme="minorHAnsi" w:hAnsiTheme="minorHAnsi"/>
              </w:rPr>
              <w:t>Výukový materiál téma</w:t>
            </w:r>
          </w:p>
        </w:tc>
        <w:tc>
          <w:tcPr>
            <w:tcW w:w="3299" w:type="dxa"/>
          </w:tcPr>
          <w:p w:rsidR="00BE7FAE" w:rsidRPr="00914EF1" w:rsidRDefault="00252B15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Kyseliny</w:t>
            </w:r>
          </w:p>
        </w:tc>
      </w:tr>
      <w:tr w:rsidR="00BE7FAE" w:rsidRPr="00914EF1" w:rsidTr="00252B15">
        <w:tc>
          <w:tcPr>
            <w:tcW w:w="3647" w:type="dxa"/>
          </w:tcPr>
          <w:p w:rsidR="00BE7FAE" w:rsidRPr="00914EF1" w:rsidRDefault="00BE7FAE" w:rsidP="00BE7FAE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 w:rsidRPr="00914EF1">
              <w:rPr>
                <w:rFonts w:asciiTheme="minorHAnsi" w:hAnsiTheme="minorHAnsi"/>
              </w:rPr>
              <w:t>Výuková materiál soubor</w:t>
            </w:r>
          </w:p>
        </w:tc>
        <w:tc>
          <w:tcPr>
            <w:tcW w:w="3299" w:type="dxa"/>
          </w:tcPr>
          <w:p w:rsidR="00BE7FAE" w:rsidRPr="00914EF1" w:rsidRDefault="00252B15" w:rsidP="00252B15">
            <w:pPr>
              <w:spacing w:before="0" w:after="0"/>
              <w:ind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="00BE7FAE">
              <w:rPr>
                <w:rFonts w:asciiTheme="minorHAnsi" w:hAnsiTheme="minorHAnsi"/>
              </w:rPr>
              <w:t>_</w:t>
            </w:r>
            <w:r>
              <w:rPr>
                <w:rFonts w:asciiTheme="minorHAnsi" w:hAnsiTheme="minorHAnsi"/>
              </w:rPr>
              <w:t>Kyseliny</w:t>
            </w:r>
          </w:p>
        </w:tc>
      </w:tr>
    </w:tbl>
    <w:p w:rsidR="00BE7FAE" w:rsidRDefault="00BE7FAE" w:rsidP="00CE51C8">
      <w:pPr>
        <w:pStyle w:val="Bezmezer"/>
      </w:pPr>
    </w:p>
    <w:p w:rsidR="00BE7FAE" w:rsidRDefault="00BE7FAE" w:rsidP="00CE51C8">
      <w:pPr>
        <w:pStyle w:val="Bezmezer"/>
      </w:pPr>
    </w:p>
    <w:p w:rsidR="00BE7FAE" w:rsidRDefault="00BE7FAE" w:rsidP="00CE51C8">
      <w:pPr>
        <w:pStyle w:val="Bezmezer"/>
      </w:pPr>
    </w:p>
    <w:p w:rsidR="00BE7FAE" w:rsidRDefault="00BE7FAE" w:rsidP="00CE51C8">
      <w:pPr>
        <w:pStyle w:val="Bezmezer"/>
      </w:pPr>
    </w:p>
    <w:p w:rsidR="00BE7FAE" w:rsidRDefault="00BE7FAE" w:rsidP="00CE51C8">
      <w:pPr>
        <w:pStyle w:val="Bezmezer"/>
      </w:pPr>
    </w:p>
    <w:p w:rsidR="00BE7FAE" w:rsidRDefault="00BE7FAE" w:rsidP="00CE51C8">
      <w:pPr>
        <w:pStyle w:val="Bezmezer"/>
      </w:pPr>
    </w:p>
    <w:p w:rsidR="00094F50" w:rsidRDefault="00094F50" w:rsidP="00CE51C8">
      <w:pPr>
        <w:pStyle w:val="Bezmezer"/>
      </w:pPr>
    </w:p>
    <w:p w:rsidR="00BE7FAE" w:rsidRPr="00BE7FAE" w:rsidRDefault="00BE7FAE" w:rsidP="00BE7FAE">
      <w:pPr>
        <w:spacing w:before="0" w:after="0" w:line="360" w:lineRule="auto"/>
        <w:ind w:firstLine="0"/>
        <w:rPr>
          <w:rFonts w:ascii="Arial" w:eastAsia="Calibri" w:hAnsi="Arial" w:cs="Arial"/>
          <w:sz w:val="32"/>
          <w:szCs w:val="32"/>
        </w:rPr>
      </w:pPr>
      <w:r w:rsidRPr="00BE7FAE">
        <w:rPr>
          <w:rFonts w:ascii="Arial" w:eastAsia="Calibri" w:hAnsi="Arial" w:cs="Arial"/>
          <w:sz w:val="32"/>
          <w:szCs w:val="32"/>
        </w:rPr>
        <w:t>Obsah a vymezení výukového materiálu (anotace)</w:t>
      </w:r>
    </w:p>
    <w:p w:rsidR="001C4EE7" w:rsidRDefault="001C4EE7" w:rsidP="001C4EE7">
      <w:r>
        <w:t>Soubor obsahuje stručnou obecnou charakteristiku a popis použití nejdůležitějších kyselin. Vlastnosti konkrétních zástupců jsou přehledně shrnuty v tabulce. Pro ověření znalosti vzorců a lepší představu o struktuře dané látky je soubor doplněn vzorci kyselin, vybírat se může mezi molekulovým, strukturním a prostorovým vzorcem.</w:t>
      </w:r>
    </w:p>
    <w:p w:rsidR="00094F50" w:rsidRDefault="00094F50" w:rsidP="001C4EE7"/>
    <w:p w:rsidR="00BE7FAE" w:rsidRPr="00BE7FAE" w:rsidRDefault="00BE7FAE" w:rsidP="00BE7FAE">
      <w:pPr>
        <w:keepNext/>
        <w:keepLines/>
        <w:spacing w:before="240" w:after="0" w:line="360" w:lineRule="auto"/>
        <w:ind w:firstLine="0"/>
        <w:jc w:val="left"/>
        <w:outlineLvl w:val="0"/>
        <w:rPr>
          <w:rFonts w:ascii="Arial" w:eastAsia="Times New Roman" w:hAnsi="Arial" w:cs="Times New Roman"/>
          <w:color w:val="000000"/>
          <w:sz w:val="32"/>
          <w:szCs w:val="32"/>
        </w:rPr>
      </w:pPr>
      <w:r w:rsidRPr="00BE7FAE">
        <w:rPr>
          <w:rFonts w:ascii="Arial" w:eastAsia="Times New Roman" w:hAnsi="Arial" w:cs="Times New Roman"/>
          <w:color w:val="000000"/>
          <w:sz w:val="32"/>
          <w:szCs w:val="32"/>
        </w:rPr>
        <w:t>Popis použití ve výuce (didaktická podpora)</w:t>
      </w:r>
    </w:p>
    <w:p w:rsidR="002866FC" w:rsidRDefault="001C4EE7" w:rsidP="00014D00">
      <w:r>
        <w:t>Téma kyselin je zpracováno jak pro výklad, tak pro samostatné opakování. Tabulka s kyselinami obsahuje název (anglický), molekulový vzorec, strukturní vzorec, prostorový vzorec, molekulovou hmotnost a hustotu viz Obr. 1. Žáci tak rychle a snadno získají základní představu o některých vlastnostech těchto látek, aniž by museli studovat složitou odbornou literaturu.</w:t>
      </w:r>
    </w:p>
    <w:p w:rsidR="002866FC" w:rsidRDefault="002866FC" w:rsidP="00014D00"/>
    <w:p w:rsidR="000D03AB" w:rsidRDefault="002866FC" w:rsidP="002866FC">
      <w:pPr>
        <w:jc w:val="center"/>
      </w:pPr>
      <w:r w:rsidRPr="002866FC">
        <w:rPr>
          <w:noProof/>
          <w:lang w:eastAsia="cs-CZ"/>
        </w:rPr>
        <w:drawing>
          <wp:inline distT="0" distB="0" distL="0" distR="0">
            <wp:extent cx="3466769" cy="2720223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482" cy="272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6FC" w:rsidRPr="002866FC" w:rsidRDefault="002866FC" w:rsidP="002866FC">
      <w:pPr>
        <w:pStyle w:val="Titulek"/>
        <w:jc w:val="center"/>
        <w:rPr>
          <w:color w:val="000000" w:themeColor="text1"/>
        </w:rPr>
      </w:pPr>
      <w:r w:rsidRPr="002866FC">
        <w:rPr>
          <w:color w:val="000000" w:themeColor="text1"/>
        </w:rPr>
        <w:t xml:space="preserve">Obrázek </w:t>
      </w:r>
      <w:r w:rsidRPr="002866FC">
        <w:rPr>
          <w:color w:val="000000" w:themeColor="text1"/>
        </w:rPr>
        <w:fldChar w:fldCharType="begin"/>
      </w:r>
      <w:r w:rsidRPr="002866FC">
        <w:rPr>
          <w:color w:val="000000" w:themeColor="text1"/>
        </w:rPr>
        <w:instrText xml:space="preserve"> SEQ Obrázek \* ARABIC </w:instrText>
      </w:r>
      <w:r w:rsidRPr="002866FC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1</w:t>
      </w:r>
      <w:r w:rsidRPr="002866FC"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Přehled kyselin</w:t>
      </w:r>
    </w:p>
    <w:p w:rsidR="002866FC" w:rsidRDefault="002866FC" w:rsidP="002866FC">
      <w:pPr>
        <w:jc w:val="center"/>
      </w:pPr>
    </w:p>
    <w:p w:rsidR="001C4EE7" w:rsidRDefault="001C4EE7" w:rsidP="001C4EE7">
      <w:r>
        <w:t>Vzhledem k tomu, že používání anglických názvů není pro žáky snadné, je tabulka doplněna ještě vzorci strukturními, molekulovými a prostorovými (záleží na výběru) u několika zástupců s českým pojmenováním. Hravou a nenásilnou formou si tak žáci mohou zopakovat názvosloví chemických látek, v tomto případě kyselin viz Obr. 2</w:t>
      </w:r>
      <w:r w:rsidR="002866FC">
        <w:t>.</w:t>
      </w:r>
    </w:p>
    <w:sdt>
      <w:sdtPr>
        <w:id w:val="6065944"/>
        <w:lock w:val="contentLocked"/>
        <w:placeholder>
          <w:docPart w:val="DefaultPlaceholder_22675703"/>
        </w:placeholder>
        <w:group/>
      </w:sdtPr>
      <w:sdtEndPr/>
      <w:sdtContent>
        <w:sdt>
          <w:sdtPr>
            <w:id w:val="6065943"/>
            <w:lock w:val="contentLocked"/>
            <w:placeholder>
              <w:docPart w:val="DefaultPlaceholder_22675703"/>
            </w:placeholder>
            <w:group/>
          </w:sdtPr>
          <w:sdtEndPr/>
          <w:sdtContent>
            <w:p w:rsidR="00DD718B" w:rsidRDefault="00DD718B" w:rsidP="001C4EE7"/>
            <w:p w:rsidR="002866FC" w:rsidRDefault="002866FC" w:rsidP="00DD718B">
              <w:pPr>
                <w:jc w:val="center"/>
              </w:pPr>
              <w:r>
                <w:rPr>
                  <w:noProof/>
                  <w:szCs w:val="24"/>
                  <w:lang w:eastAsia="cs-CZ"/>
                </w:rPr>
                <w:drawing>
                  <wp:inline distT="0" distB="0" distL="0" distR="0">
                    <wp:extent cx="2285238" cy="1845588"/>
                    <wp:effectExtent l="19050" t="0" r="762" b="0"/>
                    <wp:docPr id="4" name="obrázek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7595" cy="18474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DD718B">
                <w:rPr>
                  <w:noProof/>
                  <w:lang w:eastAsia="cs-CZ"/>
                </w:rPr>
                <w:drawing>
                  <wp:inline distT="0" distB="0" distL="0" distR="0">
                    <wp:extent cx="1802765" cy="1843405"/>
                    <wp:effectExtent l="19050" t="0" r="6985" b="0"/>
                    <wp:docPr id="6" name="obrázek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2765" cy="18434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sdtContent>
    </w:sdt>
    <w:p w:rsidR="001C4EE7" w:rsidRDefault="002866FC" w:rsidP="00DD718B">
      <w:pPr>
        <w:pStyle w:val="Titulek"/>
        <w:jc w:val="center"/>
        <w:rPr>
          <w:color w:val="000000" w:themeColor="text1"/>
        </w:rPr>
      </w:pPr>
      <w:r w:rsidRPr="002866FC">
        <w:rPr>
          <w:color w:val="000000" w:themeColor="text1"/>
        </w:rPr>
        <w:t xml:space="preserve">Obrázek </w:t>
      </w:r>
      <w:r w:rsidRPr="002866FC">
        <w:rPr>
          <w:color w:val="000000" w:themeColor="text1"/>
        </w:rPr>
        <w:fldChar w:fldCharType="begin"/>
      </w:r>
      <w:r w:rsidRPr="002866FC">
        <w:rPr>
          <w:color w:val="000000" w:themeColor="text1"/>
        </w:rPr>
        <w:instrText xml:space="preserve"> SEQ Obrázek \* ARABIC </w:instrText>
      </w:r>
      <w:r w:rsidRPr="002866FC">
        <w:rPr>
          <w:color w:val="000000" w:themeColor="text1"/>
        </w:rPr>
        <w:fldChar w:fldCharType="separate"/>
      </w:r>
      <w:r w:rsidRPr="002866FC">
        <w:rPr>
          <w:noProof/>
          <w:color w:val="000000" w:themeColor="text1"/>
        </w:rPr>
        <w:t>2</w:t>
      </w:r>
      <w:r w:rsidRPr="002866FC"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Strukturní </w:t>
      </w:r>
      <w:r w:rsidR="00DD718B">
        <w:rPr>
          <w:color w:val="000000" w:themeColor="text1"/>
        </w:rPr>
        <w:t xml:space="preserve">a prostorový </w:t>
      </w:r>
      <w:r>
        <w:rPr>
          <w:color w:val="000000" w:themeColor="text1"/>
        </w:rPr>
        <w:t xml:space="preserve">vzorec kyseliny </w:t>
      </w:r>
      <w:proofErr w:type="spellStart"/>
      <w:r>
        <w:rPr>
          <w:color w:val="000000" w:themeColor="text1"/>
        </w:rPr>
        <w:t>trihydrogenfosforečné</w:t>
      </w:r>
      <w:proofErr w:type="spellEnd"/>
    </w:p>
    <w:p w:rsidR="00313975" w:rsidRPr="00313975" w:rsidRDefault="00313975" w:rsidP="00313975"/>
    <w:p w:rsidR="00BE7FAE" w:rsidRPr="00BE7FAE" w:rsidRDefault="00BE7FAE" w:rsidP="00BE7FAE">
      <w:pPr>
        <w:keepNext/>
        <w:keepLines/>
        <w:spacing w:before="240" w:after="0" w:line="360" w:lineRule="auto"/>
        <w:ind w:firstLine="0"/>
        <w:jc w:val="left"/>
        <w:outlineLvl w:val="0"/>
        <w:rPr>
          <w:rFonts w:ascii="Arial" w:eastAsia="Times New Roman" w:hAnsi="Arial" w:cs="Times New Roman"/>
          <w:color w:val="000000"/>
          <w:sz w:val="32"/>
          <w:szCs w:val="32"/>
        </w:rPr>
      </w:pPr>
      <w:r w:rsidRPr="00BE7FAE">
        <w:rPr>
          <w:rFonts w:ascii="Arial" w:eastAsia="Times New Roman" w:hAnsi="Arial" w:cs="Times New Roman"/>
          <w:color w:val="000000"/>
          <w:sz w:val="32"/>
          <w:szCs w:val="32"/>
        </w:rPr>
        <w:t xml:space="preserve">Technický popis materiálu (komentář k systému Wolfram </w:t>
      </w:r>
      <w:proofErr w:type="spellStart"/>
      <w:r w:rsidRPr="00BE7FAE">
        <w:rPr>
          <w:rFonts w:ascii="Arial" w:eastAsia="Times New Roman" w:hAnsi="Arial" w:cs="Times New Roman"/>
          <w:color w:val="000000"/>
          <w:sz w:val="32"/>
          <w:szCs w:val="32"/>
        </w:rPr>
        <w:t>Mathematica</w:t>
      </w:r>
      <w:proofErr w:type="spellEnd"/>
      <w:r w:rsidRPr="00BE7FAE">
        <w:rPr>
          <w:rFonts w:ascii="Arial" w:eastAsia="Times New Roman" w:hAnsi="Arial" w:cs="Times New Roman"/>
          <w:color w:val="000000"/>
          <w:sz w:val="32"/>
          <w:szCs w:val="32"/>
        </w:rPr>
        <w:t>)</w:t>
      </w:r>
    </w:p>
    <w:p w:rsidR="001C4EE7" w:rsidRDefault="001C4EE7" w:rsidP="001C4EE7">
      <w:r>
        <w:t xml:space="preserve">Popsat pomocí WM jen několik vybraných kyselin je poněkud problematické. Pro popis sloučenin se používá příkaz </w:t>
      </w:r>
      <w:proofErr w:type="spellStart"/>
      <w:r>
        <w:t>ChemicalData</w:t>
      </w:r>
      <w:proofErr w:type="spellEnd"/>
      <w:r>
        <w:t xml:space="preserve">. Po zadání </w:t>
      </w:r>
      <w:proofErr w:type="spellStart"/>
      <w:r>
        <w:t>ChemicalData</w:t>
      </w:r>
      <w:proofErr w:type="spellEnd"/>
      <w:r>
        <w:t xml:space="preserve">["Acid"] je výstupem poměrně dlouhý seznam názvů jak klasických kyselin, tak mnoha dalších alkalických látek včetně organických. Z tohoto důvodu byl do proměnné </w:t>
      </w:r>
      <w:r w:rsidRPr="00D52FF7">
        <w:rPr>
          <w:i/>
        </w:rPr>
        <w:t>kyseliny</w:t>
      </w:r>
      <w:r>
        <w:t xml:space="preserve"> ručně zadán seznam vybraných látek (vzorců). Tato proměnná pak byla využita při tvorbě tabulky společně s dalšími příkazy. Některé byly popsány již dříve, pro vzorce byly použity:</w:t>
      </w:r>
    </w:p>
    <w:p w:rsidR="00313975" w:rsidRDefault="00313975" w:rsidP="001C4EE7"/>
    <w:p w:rsidR="001C4EE7" w:rsidRDefault="00D52FF7" w:rsidP="001C4EE7">
      <w:proofErr w:type="spellStart"/>
      <w:r>
        <w:t>ChemicalData</w:t>
      </w:r>
      <w:proofErr w:type="spellEnd"/>
      <w:r>
        <w:t>["</w:t>
      </w:r>
      <w:proofErr w:type="spellStart"/>
      <w:r>
        <w:t>HCl</w:t>
      </w:r>
      <w:proofErr w:type="spellEnd"/>
      <w:r w:rsidR="001C4EE7">
        <w:t>",</w:t>
      </w:r>
      <w:r w:rsidR="001C4EE7" w:rsidRPr="00604286">
        <w:t>"</w:t>
      </w:r>
      <w:proofErr w:type="spellStart"/>
      <w:r w:rsidR="001C4EE7" w:rsidRPr="00604286">
        <w:t>MolecularFormulaDisplay</w:t>
      </w:r>
      <w:proofErr w:type="spellEnd"/>
      <w:r w:rsidR="001C4EE7" w:rsidRPr="00604286">
        <w:t>"</w:t>
      </w:r>
      <w:r w:rsidR="001C4EE7">
        <w:t>]</w:t>
      </w:r>
      <w:r w:rsidR="001C4EE7">
        <w:tab/>
      </w:r>
      <w:r>
        <w:tab/>
      </w:r>
      <w:r w:rsidR="001C4EE7">
        <w:t>molekulový vzorec</w:t>
      </w:r>
    </w:p>
    <w:p w:rsidR="001C4EE7" w:rsidRDefault="00D52FF7" w:rsidP="001C4EE7">
      <w:proofErr w:type="spellStart"/>
      <w:r>
        <w:t>ChemicalData</w:t>
      </w:r>
      <w:proofErr w:type="spellEnd"/>
      <w:r>
        <w:t>["</w:t>
      </w:r>
      <w:proofErr w:type="spellStart"/>
      <w:r>
        <w:t>HCl</w:t>
      </w:r>
      <w:proofErr w:type="spellEnd"/>
      <w:r w:rsidR="001C4EE7">
        <w:t>",</w:t>
      </w:r>
      <w:r w:rsidR="001C4EE7" w:rsidRPr="00604286">
        <w:t>"</w:t>
      </w:r>
      <w:proofErr w:type="spellStart"/>
      <w:r w:rsidR="001C4EE7">
        <w:t>CHStructureDiagram</w:t>
      </w:r>
      <w:proofErr w:type="spellEnd"/>
      <w:r w:rsidR="001C4EE7" w:rsidRPr="00604286">
        <w:t>"</w:t>
      </w:r>
      <w:r w:rsidR="001C4EE7">
        <w:t>]</w:t>
      </w:r>
      <w:r w:rsidR="001C4EE7">
        <w:tab/>
      </w:r>
      <w:r w:rsidR="001C4EE7">
        <w:tab/>
        <w:t>strukturní vzorec</w:t>
      </w:r>
    </w:p>
    <w:p w:rsidR="001C4EE7" w:rsidRDefault="00D52FF7" w:rsidP="001C4EE7">
      <w:proofErr w:type="spellStart"/>
      <w:r>
        <w:t>ChemicalData</w:t>
      </w:r>
      <w:proofErr w:type="spellEnd"/>
      <w:r>
        <w:t>["</w:t>
      </w:r>
      <w:proofErr w:type="spellStart"/>
      <w:r>
        <w:t>HCl</w:t>
      </w:r>
      <w:proofErr w:type="spellEnd"/>
      <w:r w:rsidR="001C4EE7">
        <w:t>",</w:t>
      </w:r>
      <w:r w:rsidR="001C4EE7" w:rsidRPr="00604286">
        <w:t>"</w:t>
      </w:r>
      <w:proofErr w:type="spellStart"/>
      <w:r>
        <w:t>MoleculePlot</w:t>
      </w:r>
      <w:proofErr w:type="spellEnd"/>
      <w:r w:rsidR="001C4EE7" w:rsidRPr="00604286">
        <w:t>"</w:t>
      </w:r>
      <w:r w:rsidR="001C4EE7">
        <w:t>]</w:t>
      </w:r>
      <w:r w:rsidR="001C4EE7">
        <w:tab/>
      </w:r>
      <w:r w:rsidR="001C4EE7">
        <w:tab/>
      </w:r>
      <w:r w:rsidR="001C4EE7">
        <w:tab/>
      </w:r>
      <w:r>
        <w:tab/>
        <w:t>prostorový vzorec</w:t>
      </w:r>
    </w:p>
    <w:p w:rsidR="00313975" w:rsidRDefault="00313975" w:rsidP="001C4EE7"/>
    <w:p w:rsidR="00094F50" w:rsidRDefault="001C4EE7" w:rsidP="001C4EE7">
      <w:pPr>
        <w:ind w:left="927" w:firstLine="0"/>
      </w:pPr>
      <w:r>
        <w:t xml:space="preserve">Pro zobrazení vzorců a českých názvů byl také vytvořen samostatný seznam, v tomto případě nazvaný </w:t>
      </w:r>
      <w:proofErr w:type="spellStart"/>
      <w:r w:rsidRPr="00D52FF7">
        <w:rPr>
          <w:i/>
        </w:rPr>
        <w:t>data</w:t>
      </w:r>
      <w:r w:rsidR="00D52FF7" w:rsidRPr="00D52FF7">
        <w:rPr>
          <w:i/>
        </w:rPr>
        <w:t>k</w:t>
      </w:r>
      <w:proofErr w:type="spellEnd"/>
      <w:r>
        <w:t xml:space="preserve">, obsahující vzorec a český název. Další seznam nazvaný </w:t>
      </w:r>
      <w:proofErr w:type="spellStart"/>
      <w:r w:rsidRPr="00D52FF7">
        <w:rPr>
          <w:i/>
        </w:rPr>
        <w:t>fulldata</w:t>
      </w:r>
      <w:proofErr w:type="spellEnd"/>
      <w:r>
        <w:t xml:space="preserve"> zajistí vytvoření čtveřic tak, aby se ke dvojici ze seznamu </w:t>
      </w:r>
      <w:proofErr w:type="spellStart"/>
      <w:r w:rsidRPr="002866FC">
        <w:rPr>
          <w:i/>
        </w:rPr>
        <w:t>data</w:t>
      </w:r>
      <w:r w:rsidR="002866FC" w:rsidRPr="002866FC">
        <w:rPr>
          <w:i/>
        </w:rPr>
        <w:t>k</w:t>
      </w:r>
      <w:proofErr w:type="spellEnd"/>
      <w:r>
        <w:t xml:space="preserve"> </w:t>
      </w:r>
    </w:p>
    <w:p w:rsidR="00094F50" w:rsidRDefault="00094F50" w:rsidP="001C4EE7">
      <w:pPr>
        <w:ind w:left="927" w:firstLine="0"/>
      </w:pPr>
    </w:p>
    <w:p w:rsidR="00094F50" w:rsidRDefault="00094F50" w:rsidP="001C4EE7">
      <w:pPr>
        <w:ind w:left="927" w:firstLine="0"/>
      </w:pPr>
    </w:p>
    <w:p w:rsidR="001C4EE7" w:rsidRDefault="001C4EE7" w:rsidP="001C4EE7">
      <w:pPr>
        <w:ind w:left="927" w:firstLine="0"/>
      </w:pPr>
      <w:bookmarkStart w:id="0" w:name="_GoBack"/>
      <w:bookmarkEnd w:id="0"/>
      <w:r>
        <w:t xml:space="preserve">připojil příslušný vzorec molekulový a strukturní. Příkaz </w:t>
      </w:r>
      <w:proofErr w:type="spellStart"/>
      <w:r>
        <w:t>Manipulate</w:t>
      </w:r>
      <w:proofErr w:type="spellEnd"/>
      <w:r>
        <w:t xml:space="preserve"> pak pomocí vhodně nastavených parametrů zajistí správné zobrazení vzorců po výběru.</w:t>
      </w:r>
    </w:p>
    <w:p w:rsidR="00BE7FAE" w:rsidRDefault="00BE7FAE" w:rsidP="00472F9D"/>
    <w:p w:rsidR="00BE7FAE" w:rsidRPr="00BE7FAE" w:rsidRDefault="00BE7FAE" w:rsidP="00BE7FAE">
      <w:pPr>
        <w:keepNext/>
        <w:keepLines/>
        <w:spacing w:before="240" w:after="0" w:line="360" w:lineRule="auto"/>
        <w:ind w:firstLine="0"/>
        <w:jc w:val="left"/>
        <w:outlineLvl w:val="0"/>
        <w:rPr>
          <w:rFonts w:ascii="Arial" w:eastAsia="Times New Roman" w:hAnsi="Arial" w:cs="Times New Roman"/>
          <w:color w:val="000000"/>
          <w:sz w:val="32"/>
          <w:szCs w:val="32"/>
        </w:rPr>
      </w:pPr>
      <w:r w:rsidRPr="00BE7FAE">
        <w:rPr>
          <w:rFonts w:ascii="Arial" w:eastAsia="Times New Roman" w:hAnsi="Arial" w:cs="Times New Roman"/>
          <w:color w:val="000000"/>
          <w:sz w:val="32"/>
          <w:szCs w:val="32"/>
        </w:rPr>
        <w:t>Shrnutí</w:t>
      </w:r>
    </w:p>
    <w:p w:rsidR="001C4EE7" w:rsidRDefault="001C4EE7" w:rsidP="001C4EE7">
      <w:r>
        <w:t xml:space="preserve">Tabulku je možné použít i v případě, že žáci nemají přístup k WM. </w:t>
      </w:r>
      <w:proofErr w:type="spellStart"/>
      <w:r>
        <w:t>Manipulate</w:t>
      </w:r>
      <w:proofErr w:type="spellEnd"/>
      <w:r>
        <w:t xml:space="preserve"> se vzorci ocení hlavně ti, kteří si jej sami mohou vyzkoušet. Výhodou je nejen interaktivita </w:t>
      </w:r>
      <w:r w:rsidRPr="00B041B2">
        <w:t>a</w:t>
      </w:r>
      <w:r>
        <w:t> </w:t>
      </w:r>
      <w:r w:rsidRPr="00B041B2">
        <w:t>libovolná</w:t>
      </w:r>
      <w:r>
        <w:t xml:space="preserve"> možnost opakování, ale také jednoduchá možnost vzorce přidat podle potřeby prostým připsáním do proměnné </w:t>
      </w:r>
      <w:r w:rsidR="00D52FF7" w:rsidRPr="00D52FF7">
        <w:rPr>
          <w:i/>
        </w:rPr>
        <w:t>kyseliny</w:t>
      </w:r>
      <w:r>
        <w:t xml:space="preserve"> nebo </w:t>
      </w:r>
      <w:proofErr w:type="spellStart"/>
      <w:r w:rsidRPr="00D52FF7">
        <w:rPr>
          <w:i/>
        </w:rPr>
        <w:t>data</w:t>
      </w:r>
      <w:r w:rsidR="00D52FF7" w:rsidRPr="00D52FF7">
        <w:rPr>
          <w:i/>
        </w:rPr>
        <w:t>k</w:t>
      </w:r>
      <w:proofErr w:type="spellEnd"/>
      <w:r>
        <w:t>.</w:t>
      </w:r>
    </w:p>
    <w:sectPr w:rsidR="001C4EE7" w:rsidSect="00723F7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EF1" w:rsidRDefault="00914EF1" w:rsidP="00914EF1">
      <w:pPr>
        <w:spacing w:before="0" w:after="0" w:line="240" w:lineRule="auto"/>
      </w:pPr>
      <w:r>
        <w:separator/>
      </w:r>
    </w:p>
  </w:endnote>
  <w:endnote w:type="continuationSeparator" w:id="0">
    <w:p w:rsidR="00914EF1" w:rsidRDefault="00914EF1" w:rsidP="00914E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EF1" w:rsidRDefault="00914EF1" w:rsidP="00914EF1">
      <w:pPr>
        <w:spacing w:before="0" w:after="0" w:line="240" w:lineRule="auto"/>
      </w:pPr>
      <w:r>
        <w:separator/>
      </w:r>
    </w:p>
  </w:footnote>
  <w:footnote w:type="continuationSeparator" w:id="0">
    <w:p w:rsidR="00914EF1" w:rsidRDefault="00914EF1" w:rsidP="00914E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F1" w:rsidRDefault="00914EF1">
    <w:pPr>
      <w:pStyle w:val="Zhlav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4106"/>
    <w:multiLevelType w:val="hybridMultilevel"/>
    <w:tmpl w:val="A46AE62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5B50E6"/>
    <w:multiLevelType w:val="hybridMultilevel"/>
    <w:tmpl w:val="90605E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D32D4D"/>
    <w:multiLevelType w:val="hybridMultilevel"/>
    <w:tmpl w:val="6396F134"/>
    <w:lvl w:ilvl="0" w:tplc="3424B94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CE5850"/>
    <w:multiLevelType w:val="hybridMultilevel"/>
    <w:tmpl w:val="9160754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A74AB4"/>
    <w:multiLevelType w:val="hybridMultilevel"/>
    <w:tmpl w:val="42EE078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2ED250D"/>
    <w:multiLevelType w:val="hybridMultilevel"/>
    <w:tmpl w:val="46D48BB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9540D83"/>
    <w:multiLevelType w:val="hybridMultilevel"/>
    <w:tmpl w:val="33802FB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689"/>
    <w:rsid w:val="00014D00"/>
    <w:rsid w:val="00072645"/>
    <w:rsid w:val="00094F50"/>
    <w:rsid w:val="00095539"/>
    <w:rsid w:val="000D03AB"/>
    <w:rsid w:val="000E20F8"/>
    <w:rsid w:val="001327D2"/>
    <w:rsid w:val="001673A5"/>
    <w:rsid w:val="001721EF"/>
    <w:rsid w:val="00190732"/>
    <w:rsid w:val="001C4EE7"/>
    <w:rsid w:val="00252B15"/>
    <w:rsid w:val="00264089"/>
    <w:rsid w:val="0028503F"/>
    <w:rsid w:val="002866FC"/>
    <w:rsid w:val="00313975"/>
    <w:rsid w:val="003E5478"/>
    <w:rsid w:val="003F6056"/>
    <w:rsid w:val="00425689"/>
    <w:rsid w:val="00472F9D"/>
    <w:rsid w:val="004E480E"/>
    <w:rsid w:val="004E4D71"/>
    <w:rsid w:val="00503C5D"/>
    <w:rsid w:val="005127D8"/>
    <w:rsid w:val="00547C0E"/>
    <w:rsid w:val="00570762"/>
    <w:rsid w:val="005A06CD"/>
    <w:rsid w:val="006A6BCF"/>
    <w:rsid w:val="006D0682"/>
    <w:rsid w:val="00707D11"/>
    <w:rsid w:val="00723F7E"/>
    <w:rsid w:val="0076751D"/>
    <w:rsid w:val="007E263E"/>
    <w:rsid w:val="00807BAA"/>
    <w:rsid w:val="008213AB"/>
    <w:rsid w:val="008A6C0E"/>
    <w:rsid w:val="008C4687"/>
    <w:rsid w:val="008E72AF"/>
    <w:rsid w:val="008F5D8B"/>
    <w:rsid w:val="00906E4B"/>
    <w:rsid w:val="00914EF1"/>
    <w:rsid w:val="00927AF3"/>
    <w:rsid w:val="009B1F3F"/>
    <w:rsid w:val="009E447C"/>
    <w:rsid w:val="00A56929"/>
    <w:rsid w:val="00A822DE"/>
    <w:rsid w:val="00B2104A"/>
    <w:rsid w:val="00B34098"/>
    <w:rsid w:val="00BA79EF"/>
    <w:rsid w:val="00BE7FAE"/>
    <w:rsid w:val="00C74BB3"/>
    <w:rsid w:val="00C9350A"/>
    <w:rsid w:val="00CC5820"/>
    <w:rsid w:val="00CD49F0"/>
    <w:rsid w:val="00CE51C8"/>
    <w:rsid w:val="00D223A6"/>
    <w:rsid w:val="00D52FF7"/>
    <w:rsid w:val="00DC3BDA"/>
    <w:rsid w:val="00DD718B"/>
    <w:rsid w:val="00DE1E2B"/>
    <w:rsid w:val="00E23A7B"/>
    <w:rsid w:val="00E30546"/>
    <w:rsid w:val="00E35CC0"/>
    <w:rsid w:val="00E4609A"/>
    <w:rsid w:val="00E721A0"/>
    <w:rsid w:val="00FA7684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930EF-D5D4-4ABF-AFBB-E816B56E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06CD"/>
    <w:pPr>
      <w:spacing w:before="120" w:after="120"/>
      <w:ind w:firstLine="567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E51C8"/>
    <w:pPr>
      <w:keepNext/>
      <w:keepLines/>
      <w:spacing w:before="360"/>
      <w:outlineLvl w:val="0"/>
    </w:pPr>
    <w:rPr>
      <w:rFonts w:ascii="Arial" w:eastAsiaTheme="majorEastAsia" w:hAnsi="Arial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51C8"/>
    <w:rPr>
      <w:rFonts w:ascii="Arial" w:eastAsiaTheme="majorEastAsia" w:hAnsi="Arial" w:cstheme="majorBidi"/>
      <w:bCs/>
      <w:sz w:val="32"/>
      <w:szCs w:val="28"/>
    </w:rPr>
  </w:style>
  <w:style w:type="paragraph" w:styleId="Bezmezer">
    <w:name w:val="No Spacing"/>
    <w:uiPriority w:val="1"/>
    <w:qFormat/>
    <w:rsid w:val="00DC3BD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MathematicaFormatTextForm">
    <w:name w:val="MathematicaFormatTextForm"/>
    <w:uiPriority w:val="99"/>
    <w:rsid w:val="00CE51C8"/>
  </w:style>
  <w:style w:type="paragraph" w:styleId="Odstavecseseznamem">
    <w:name w:val="List Paragraph"/>
    <w:basedOn w:val="Normln"/>
    <w:uiPriority w:val="34"/>
    <w:qFormat/>
    <w:rsid w:val="004E4D7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3054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30546"/>
    <w:rPr>
      <w:color w:val="0000FF"/>
      <w:u w:val="single"/>
    </w:rPr>
  </w:style>
  <w:style w:type="paragraph" w:customStyle="1" w:styleId="MathematicaCellText">
    <w:name w:val="MathematicaCellText"/>
    <w:rsid w:val="000E20F8"/>
    <w:pPr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8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8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14E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4EF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914E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4EF1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914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ulek">
    <w:name w:val="caption"/>
    <w:basedOn w:val="Normln"/>
    <w:next w:val="Normln"/>
    <w:uiPriority w:val="35"/>
    <w:unhideWhenUsed/>
    <w:qFormat/>
    <w:rsid w:val="002866FC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3139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5066E1-6C8E-4F7F-B42B-4FD1E6981219}"/>
      </w:docPartPr>
      <w:docPartBody>
        <w:p w:rsidR="003B2315" w:rsidRDefault="00F17D8F">
          <w:r w:rsidRPr="00071338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17D8F"/>
    <w:rsid w:val="003B2315"/>
    <w:rsid w:val="00F1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17D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ABF6C-EE24-4602-9AA2-B0C7BE01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PK</cp:lastModifiedBy>
  <cp:revision>11</cp:revision>
  <dcterms:created xsi:type="dcterms:W3CDTF">2014-05-02T09:15:00Z</dcterms:created>
  <dcterms:modified xsi:type="dcterms:W3CDTF">2014-09-09T11:21:00Z</dcterms:modified>
</cp:coreProperties>
</file>