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D98" w:rsidRDefault="00DD5D98" w:rsidP="00DD5D98"/>
    <w:p w:rsidR="00732ECA" w:rsidRDefault="00DD5D98" w:rsidP="00046774">
      <w:pPr>
        <w:pStyle w:val="Bezmezer"/>
        <w:jc w:val="center"/>
        <w:rPr>
          <w:b/>
          <w:sz w:val="52"/>
        </w:rPr>
      </w:pPr>
      <w:r w:rsidRPr="00046774">
        <w:rPr>
          <w:b/>
          <w:sz w:val="52"/>
        </w:rPr>
        <w:t>Metodický pokyn</w:t>
      </w:r>
    </w:p>
    <w:p w:rsidR="00046774" w:rsidRPr="00046774" w:rsidRDefault="00046774" w:rsidP="00046774">
      <w:pPr>
        <w:pStyle w:val="Bezmezer"/>
        <w:jc w:val="center"/>
        <w:rPr>
          <w:b/>
          <w:sz w:val="24"/>
        </w:rPr>
      </w:pPr>
    </w:p>
    <w:tbl>
      <w:tblPr>
        <w:tblStyle w:val="Mkatabulky"/>
        <w:tblW w:w="0" w:type="auto"/>
        <w:tblInd w:w="959" w:type="dxa"/>
        <w:tblLook w:val="04A0"/>
      </w:tblPr>
      <w:tblGrid>
        <w:gridCol w:w="3647"/>
        <w:gridCol w:w="3299"/>
      </w:tblGrid>
      <w:tr w:rsidR="00DD5D98" w:rsidTr="00DD5D98">
        <w:tc>
          <w:tcPr>
            <w:tcW w:w="3647" w:type="dxa"/>
          </w:tcPr>
          <w:p w:rsidR="00DD5D98" w:rsidRDefault="00DD5D98" w:rsidP="00DD5D98">
            <w:r>
              <w:t>Projekt</w:t>
            </w:r>
          </w:p>
        </w:tc>
        <w:tc>
          <w:tcPr>
            <w:tcW w:w="3299" w:type="dxa"/>
          </w:tcPr>
          <w:p w:rsidR="00DD5D98" w:rsidRDefault="00DD5D98" w:rsidP="00DD5D98">
            <w:r w:rsidRPr="00DD5D98">
              <w:t>CZ .1.07/1.1.36/02.0066</w:t>
            </w:r>
          </w:p>
        </w:tc>
      </w:tr>
      <w:tr w:rsidR="00DD5D98" w:rsidTr="00DD5D98">
        <w:tc>
          <w:tcPr>
            <w:tcW w:w="3647" w:type="dxa"/>
          </w:tcPr>
          <w:p w:rsidR="00DD5D98" w:rsidRDefault="00DD5D98" w:rsidP="00DD5D98">
            <w:r>
              <w:t>Autor</w:t>
            </w:r>
          </w:p>
        </w:tc>
        <w:tc>
          <w:tcPr>
            <w:tcW w:w="3299" w:type="dxa"/>
          </w:tcPr>
          <w:p w:rsidR="00DD5D98" w:rsidRDefault="00046774" w:rsidP="00DD5D98">
            <w:r>
              <w:t>Ladislav Kašpárek</w:t>
            </w:r>
          </w:p>
        </w:tc>
      </w:tr>
      <w:tr w:rsidR="00650990" w:rsidTr="00DD5D98">
        <w:tc>
          <w:tcPr>
            <w:tcW w:w="3647" w:type="dxa"/>
          </w:tcPr>
          <w:p w:rsidR="00650990" w:rsidRDefault="00650990" w:rsidP="00DD5D98">
            <w:r>
              <w:t>Předmět</w:t>
            </w:r>
          </w:p>
        </w:tc>
        <w:tc>
          <w:tcPr>
            <w:tcW w:w="3299" w:type="dxa"/>
          </w:tcPr>
          <w:p w:rsidR="00650990" w:rsidRDefault="00046774" w:rsidP="00DD5D98">
            <w:r>
              <w:t>Programovací metody</w:t>
            </w:r>
          </w:p>
        </w:tc>
      </w:tr>
      <w:tr w:rsidR="00DD5D98" w:rsidTr="00DD5D98">
        <w:tc>
          <w:tcPr>
            <w:tcW w:w="3647" w:type="dxa"/>
          </w:tcPr>
          <w:p w:rsidR="00DD5D98" w:rsidRDefault="00DD5D98" w:rsidP="00DD5D98">
            <w:r>
              <w:t>Výukový materiál téma</w:t>
            </w:r>
          </w:p>
        </w:tc>
        <w:tc>
          <w:tcPr>
            <w:tcW w:w="3299" w:type="dxa"/>
          </w:tcPr>
          <w:p w:rsidR="00DD5D98" w:rsidRDefault="00A35C28" w:rsidP="00DD5D98">
            <w:r>
              <w:t>Numerická integrace</w:t>
            </w:r>
          </w:p>
        </w:tc>
      </w:tr>
      <w:tr w:rsidR="00DD5D98" w:rsidTr="00DD5D98">
        <w:tc>
          <w:tcPr>
            <w:tcW w:w="3647" w:type="dxa"/>
          </w:tcPr>
          <w:p w:rsidR="00DD5D98" w:rsidRDefault="00DD5D98" w:rsidP="00DD5D98">
            <w:r>
              <w:t>Výuková materiál soubor</w:t>
            </w:r>
          </w:p>
        </w:tc>
        <w:tc>
          <w:tcPr>
            <w:tcW w:w="3299" w:type="dxa"/>
          </w:tcPr>
          <w:p w:rsidR="00DD5D98" w:rsidRDefault="00A35C28" w:rsidP="0050351B">
            <w:r w:rsidRPr="00A35C28">
              <w:t>95_integr_apl.nb</w:t>
            </w:r>
          </w:p>
        </w:tc>
      </w:tr>
    </w:tbl>
    <w:p w:rsidR="00DD5D98" w:rsidRDefault="00DD5D98" w:rsidP="00DD5D98"/>
    <w:p w:rsidR="00DD5D98" w:rsidRDefault="003F3CEE" w:rsidP="003F3CEE">
      <w:pPr>
        <w:pStyle w:val="Nadpis1"/>
      </w:pPr>
      <w:r>
        <w:t>Obsah a vymezení výukového materiálu</w:t>
      </w:r>
      <w:r w:rsidR="000539E1">
        <w:t xml:space="preserve"> (anotace)</w:t>
      </w:r>
    </w:p>
    <w:p w:rsidR="00A35C28" w:rsidRDefault="00A35C28" w:rsidP="003F3CEE">
      <w:pPr>
        <w:pStyle w:val="Nadpis1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A35C28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V této kapitole si ukážeme tři základní matematické aplikace určitého</w:t>
      </w: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integrálu, které se na střední</w:t>
      </w:r>
      <w:r w:rsidRPr="00A35C28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ch školách (alespoň některých) stále ještě učí. Jedná se o aplikace ryze matematické.</w:t>
      </w:r>
    </w:p>
    <w:p w:rsidR="003F3CEE" w:rsidRDefault="003F3CEE" w:rsidP="003F3CEE">
      <w:pPr>
        <w:pStyle w:val="Nadpis1"/>
      </w:pPr>
      <w:r>
        <w:t>Popis použití ve výuce</w:t>
      </w:r>
      <w:r w:rsidR="00DA63D9">
        <w:t xml:space="preserve"> (didaktická podpora)</w:t>
      </w:r>
    </w:p>
    <w:p w:rsidR="00B963FA" w:rsidRDefault="00A8335E" w:rsidP="006C363F">
      <w:r>
        <w:t xml:space="preserve"> </w:t>
      </w:r>
      <w:r w:rsidR="00C14F64">
        <w:t xml:space="preserve">Materiál je vhodné zařadit buď jako </w:t>
      </w:r>
      <w:r w:rsidR="00B86993">
        <w:t>výkladový a experimentální text. Je nutné předem zavést (alespoň intuitivně) pojmy rotační těleso a rovinná křivka. Pak definovat příslušné integrály.</w:t>
      </w:r>
    </w:p>
    <w:p w:rsidR="00B86993" w:rsidRDefault="00B86993" w:rsidP="006C363F">
      <w:r>
        <w:t>Pro numerické výpočty integrálů je vhodné žáky namotivovat přesnými výpočty a pak provádět experimenty v jazyce Java. Doporučuji v rámci cvičení vždy odhadnout počet dílků pomocí vzorce pro odhad chyby, tím se výpočet z experimentů dostává do roviny seriozních výpočtů.</w:t>
      </w:r>
    </w:p>
    <w:p w:rsidR="00C14F64" w:rsidRDefault="00B86993" w:rsidP="0098366A">
      <w:pPr>
        <w:jc w:val="center"/>
      </w:pPr>
      <w:r>
        <w:rPr>
          <w:rFonts w:ascii="Courier" w:hAnsi="Courier" w:cs="Courier"/>
          <w:noProof/>
          <w:lang w:eastAsia="cs-CZ"/>
        </w:rPr>
        <w:drawing>
          <wp:inline distT="0" distB="0" distL="0" distR="0">
            <wp:extent cx="3240727" cy="2703106"/>
            <wp:effectExtent l="19050" t="0" r="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702" cy="2703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D78" w:rsidRDefault="009860E0" w:rsidP="006A0D78">
      <w:r>
        <w:t>Žáci mohou v druhé části dokumentu samostatně programovat (upravovat) metodu lichoběžníků a tím i integraci obejít.</w:t>
      </w:r>
    </w:p>
    <w:p w:rsidR="00923225" w:rsidRDefault="00923225" w:rsidP="00923225">
      <w:pPr>
        <w:pStyle w:val="Nadpis1"/>
      </w:pPr>
      <w:r>
        <w:lastRenderedPageBreak/>
        <w:t>Technický popis materiálu</w:t>
      </w:r>
      <w:r w:rsidR="009259BE">
        <w:t xml:space="preserve"> (komentář k systému Wolfram Mathematica)</w:t>
      </w:r>
    </w:p>
    <w:p w:rsidR="00A8335E" w:rsidRDefault="00B86993" w:rsidP="00A8335E">
      <w:pPr>
        <w:rPr>
          <w:rFonts w:eastAsiaTheme="minorEastAsia"/>
        </w:rPr>
      </w:pPr>
      <w:r>
        <w:t xml:space="preserve">Z technického pohledu je zajímavý obrázek rotačního tělesa. Mathematica umí vykreslit a interaktivně zobrazit 3D tělesa a plochy. Zde je použita funkce </w:t>
      </w:r>
      <m:oMath>
        <m:r>
          <m:rPr>
            <m:sty m:val="p"/>
          </m:rPr>
          <w:rPr>
            <w:rFonts w:ascii="Cambria Math" w:hAnsi="Cambria Math"/>
          </w:rPr>
          <m:t>RevolutionPlot3D</m:t>
        </m:r>
      </m:oMath>
      <w:r>
        <w:rPr>
          <w:rFonts w:eastAsiaTheme="minorEastAsia"/>
        </w:rPr>
        <w:t>. Tato funkce přesně vykresluje rotaci podle osy x a je tedy bez dalšího komentáře maximálně ilustrativní.</w:t>
      </w:r>
    </w:p>
    <w:p w:rsidR="00E61E45" w:rsidRPr="00A8335E" w:rsidRDefault="00E61E45" w:rsidP="00A8335E">
      <w:r>
        <w:rPr>
          <w:rFonts w:eastAsiaTheme="minorEastAsia"/>
        </w:rPr>
        <w:t xml:space="preserve">Další zajímavostí je dvoubarevná parabola. O vykreslení se postará parametr </w:t>
      </w:r>
      <m:oMath>
        <m:r>
          <m:rPr>
            <m:sty m:val="p"/>
          </m:rPr>
          <w:rPr>
            <w:rFonts w:ascii="Cambria Math" w:hAnsi="Cambria Math"/>
          </w:rPr>
          <m:t>ColorFunction</m:t>
        </m:r>
        <m:r>
          <w:rPr>
            <w:rFonts w:ascii="Cambria Math" w:hAnsi="Cambria Math"/>
          </w:rPr>
          <m:t>-&gt;</m:t>
        </m:r>
        <m:r>
          <m:rPr>
            <m:sty m:val="p"/>
          </m:rPr>
          <w:rPr>
            <w:rFonts w:ascii="Cambria Math" w:hAnsi="Cambria Math"/>
          </w:rPr>
          <m:t>Function</m:t>
        </m:r>
        <m:r>
          <w:rPr>
            <w:rFonts w:ascii="Cambria Math" w:hAnsi="Cambria Math"/>
          </w:rPr>
          <m:t>[{x,y},</m:t>
        </m:r>
        <m:r>
          <m:rPr>
            <m:sty m:val="p"/>
          </m:rPr>
          <w:rPr>
            <w:rFonts w:ascii="Cambria Math" w:hAnsi="Cambria Math"/>
          </w:rPr>
          <m:t>If</m:t>
        </m:r>
        <m:r>
          <w:rPr>
            <w:rFonts w:ascii="Cambria Math" w:hAnsi="Cambria Math"/>
          </w:rPr>
          <m:t>[x&lt;0.5,</m:t>
        </m:r>
        <m:r>
          <m:rPr>
            <m:sty m:val="p"/>
          </m:rPr>
          <w:rPr>
            <w:rFonts w:ascii="Cambria Math" w:hAnsi="Cambria Math"/>
          </w:rPr>
          <m:t>Black</m:t>
        </m:r>
        <m:r>
          <w:rPr>
            <w:rFonts w:ascii="Cambria Math" w:hAnsi="Cambria Math"/>
          </w:rPr>
          <m:t>,</m:t>
        </m:r>
        <m:r>
          <m:rPr>
            <m:sty m:val="p"/>
          </m:rPr>
          <w:rPr>
            <w:rFonts w:ascii="Cambria Math" w:hAnsi="Cambria Math"/>
          </w:rPr>
          <m:t>Red</m:t>
        </m:r>
        <m:r>
          <w:rPr>
            <w:rFonts w:ascii="Cambria Math" w:hAnsi="Cambria Math"/>
          </w:rPr>
          <m:t>]]</m:t>
        </m:r>
      </m:oMath>
      <w:r>
        <w:rPr>
          <w:rFonts w:eastAsiaTheme="minorEastAsia"/>
        </w:rPr>
        <w:t>.</w:t>
      </w:r>
      <w:r w:rsidR="006A0D78">
        <w:rPr>
          <w:rFonts w:eastAsiaTheme="minorEastAsia"/>
        </w:rPr>
        <w:t xml:space="preserve"> Pozor celou délku křivky v intervalu &lt;0;2&gt; pro své potřeby transformuje na interval &lt;0;1&gt;.</w:t>
      </w:r>
    </w:p>
    <w:p w:rsidR="00923225" w:rsidRDefault="005E3A75" w:rsidP="00923225">
      <w:pPr>
        <w:pStyle w:val="Nadpis1"/>
      </w:pPr>
      <w:r>
        <w:t>Shrnutí</w:t>
      </w:r>
    </w:p>
    <w:p w:rsidR="00A8335E" w:rsidRDefault="007E0CC8" w:rsidP="00A8335E">
      <w:pPr>
        <w:rPr>
          <w:rFonts w:eastAsiaTheme="minorEastAsia"/>
        </w:rPr>
      </w:pPr>
      <w:r>
        <w:t>Materiál bývá žáky dobře přijímán</w:t>
      </w:r>
      <w:r w:rsidR="00BE3CD7">
        <w:t xml:space="preserve">, doporučuji nepodcenit motivaci a dobře vysvětlit pojem derivace ve vzorci: </w:t>
      </w:r>
      <m:oMath>
        <m:eqArr>
          <m:eqArrPr>
            <m:ctrlPr>
              <w:rPr>
                <w:rFonts w:ascii="Cambria Math" w:hAnsi="Cambria Math"/>
              </w:rPr>
            </m:ctrlPr>
          </m:eqArrPr>
          <m:e>
            <m:r>
              <w:rPr>
                <w:rFonts w:ascii="Cambria Math" w:hAnsi="Cambria Math"/>
              </w:rPr>
              <m:t>L=</m:t>
            </m:r>
            <m:nary>
              <m:naryPr>
                <m:limLoc m:val="subSup"/>
                <m:grow m:val="on"/>
                <m:ctrlPr>
                  <w:rPr>
                    <w:rFonts w:ascii="Cambria Math" w:hAnsi="Cambria Math"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a</m:t>
                </m:r>
              </m:sub>
              <m:sup>
                <m:r>
                  <w:rPr>
                    <w:rFonts w:ascii="Cambria Math" w:hAnsi="Cambria Math"/>
                  </w:rPr>
                  <m:t>b</m:t>
                </m:r>
              </m:sup>
              <m:e>
                <m:rad>
                  <m:radPr>
                    <m:degHide m:val="on"/>
                    <m:ctrlPr>
                      <w:rPr>
                        <w:rFonts w:ascii="Cambria Math" w:hAnsi="Cambria Math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(f'(x))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  <m:r>
                  <m:rPr>
                    <m:sty m:val="b"/>
                  </m:rPr>
                  <w:rPr>
                    <w:rFonts w:ascii="Cambria Math" w:hAnsi="Cambria Math"/>
                  </w:rPr>
                  <m:t>ⅆ</m:t>
                </m:r>
                <m:r>
                  <w:rPr>
                    <w:rFonts w:ascii="Cambria Math" w:hAnsi="Cambria Math"/>
                  </w:rPr>
                  <m:t>x</m:t>
                </m:r>
              </m:e>
            </m:nary>
          </m:e>
        </m:eqArr>
      </m:oMath>
    </w:p>
    <w:p w:rsidR="00BE3CD7" w:rsidRPr="00A8335E" w:rsidRDefault="00BE3CD7" w:rsidP="00A8335E">
      <w:r>
        <w:rPr>
          <w:rFonts w:eastAsiaTheme="minorEastAsia"/>
        </w:rPr>
        <w:t>Protože žáci ještě derivaci neznají je pro ně druhý postup určení délky křivky schůdnější.</w:t>
      </w:r>
    </w:p>
    <w:sectPr w:rsidR="00BE3CD7" w:rsidRPr="00A8335E" w:rsidSect="00732EC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826" w:rsidRDefault="00F33826" w:rsidP="00DD5D98">
      <w:pPr>
        <w:spacing w:after="0" w:line="240" w:lineRule="auto"/>
      </w:pPr>
      <w:r>
        <w:separator/>
      </w:r>
    </w:p>
  </w:endnote>
  <w:endnote w:type="continuationSeparator" w:id="0">
    <w:p w:rsidR="00F33826" w:rsidRDefault="00F33826" w:rsidP="00DD5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826" w:rsidRDefault="00F33826" w:rsidP="00DD5D98">
      <w:pPr>
        <w:spacing w:after="0" w:line="240" w:lineRule="auto"/>
      </w:pPr>
      <w:r>
        <w:separator/>
      </w:r>
    </w:p>
  </w:footnote>
  <w:footnote w:type="continuationSeparator" w:id="0">
    <w:p w:rsidR="00F33826" w:rsidRDefault="00F33826" w:rsidP="00DD5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D98" w:rsidRDefault="00DD5D98" w:rsidP="00DD5D98">
    <w:pPr>
      <w:pStyle w:val="Zhlav"/>
      <w:jc w:val="center"/>
    </w:pPr>
    <w:r>
      <w:rPr>
        <w:rFonts w:ascii="Courier" w:hAnsi="Courier" w:cs="Courier"/>
        <w:noProof/>
        <w:lang w:eastAsia="cs-CZ"/>
      </w:rPr>
      <w:drawing>
        <wp:inline distT="0" distB="0" distL="0" distR="0">
          <wp:extent cx="4286992" cy="940163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797" cy="9405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B4F26"/>
    <w:multiLevelType w:val="hybridMultilevel"/>
    <w:tmpl w:val="61AED248"/>
    <w:lvl w:ilvl="0" w:tplc="040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D98"/>
    <w:rsid w:val="0001590C"/>
    <w:rsid w:val="000373BF"/>
    <w:rsid w:val="00046774"/>
    <w:rsid w:val="000539E1"/>
    <w:rsid w:val="000B472C"/>
    <w:rsid w:val="001B325A"/>
    <w:rsid w:val="002D75F6"/>
    <w:rsid w:val="002E21B9"/>
    <w:rsid w:val="002F0D38"/>
    <w:rsid w:val="003705E1"/>
    <w:rsid w:val="003C798F"/>
    <w:rsid w:val="003F3CEE"/>
    <w:rsid w:val="00414D81"/>
    <w:rsid w:val="00476C8F"/>
    <w:rsid w:val="004A78D7"/>
    <w:rsid w:val="0050351B"/>
    <w:rsid w:val="005E3A75"/>
    <w:rsid w:val="00650990"/>
    <w:rsid w:val="00686AA2"/>
    <w:rsid w:val="00696353"/>
    <w:rsid w:val="006A0D78"/>
    <w:rsid w:val="006C363F"/>
    <w:rsid w:val="006C703F"/>
    <w:rsid w:val="00713472"/>
    <w:rsid w:val="00732ECA"/>
    <w:rsid w:val="007423C2"/>
    <w:rsid w:val="00777EBC"/>
    <w:rsid w:val="007D5783"/>
    <w:rsid w:val="007E0CC8"/>
    <w:rsid w:val="0084556D"/>
    <w:rsid w:val="008F57E1"/>
    <w:rsid w:val="00923225"/>
    <w:rsid w:val="009259BE"/>
    <w:rsid w:val="0098366A"/>
    <w:rsid w:val="009860E0"/>
    <w:rsid w:val="00A35C28"/>
    <w:rsid w:val="00A715A2"/>
    <w:rsid w:val="00A8335E"/>
    <w:rsid w:val="00AE3DFE"/>
    <w:rsid w:val="00B80DA8"/>
    <w:rsid w:val="00B86993"/>
    <w:rsid w:val="00B963FA"/>
    <w:rsid w:val="00BE15F8"/>
    <w:rsid w:val="00BE3CD7"/>
    <w:rsid w:val="00C14F64"/>
    <w:rsid w:val="00D40B1A"/>
    <w:rsid w:val="00DA63D9"/>
    <w:rsid w:val="00DD5D98"/>
    <w:rsid w:val="00DF502A"/>
    <w:rsid w:val="00DF6FF2"/>
    <w:rsid w:val="00E07459"/>
    <w:rsid w:val="00E2014D"/>
    <w:rsid w:val="00E45AE7"/>
    <w:rsid w:val="00E61E45"/>
    <w:rsid w:val="00F33826"/>
    <w:rsid w:val="00F65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2ECA"/>
  </w:style>
  <w:style w:type="paragraph" w:styleId="Nadpis1">
    <w:name w:val="heading 1"/>
    <w:basedOn w:val="Normln"/>
    <w:next w:val="Normln"/>
    <w:link w:val="Nadpis1Char"/>
    <w:uiPriority w:val="9"/>
    <w:qFormat/>
    <w:rsid w:val="003F3C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D5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DD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D5D98"/>
  </w:style>
  <w:style w:type="paragraph" w:styleId="Zpat">
    <w:name w:val="footer"/>
    <w:basedOn w:val="Normln"/>
    <w:link w:val="ZpatChar"/>
    <w:uiPriority w:val="99"/>
    <w:semiHidden/>
    <w:unhideWhenUsed/>
    <w:rsid w:val="00DD5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D5D98"/>
  </w:style>
  <w:style w:type="character" w:customStyle="1" w:styleId="MathematicaFormatStandardForm">
    <w:name w:val="MathematicaFormatStandardForm"/>
    <w:uiPriority w:val="99"/>
    <w:rsid w:val="00DD5D98"/>
    <w:rPr>
      <w:rFonts w:ascii="Courier" w:hAnsi="Courier" w:cs="Courie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5D9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F3C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3F3CE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074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268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2014-09-16T21:51:00Z</dcterms:created>
  <dcterms:modified xsi:type="dcterms:W3CDTF">2015-02-10T22:38:00Z</dcterms:modified>
</cp:coreProperties>
</file>