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p w:rsidR="00BE7FAE" w:rsidRDefault="00BE7FAE" w:rsidP="00CE51C8">
      <w:pPr>
        <w:pStyle w:val="Bezmezer"/>
      </w:pPr>
    </w:p>
    <w:tbl>
      <w:tblPr>
        <w:tblStyle w:val="Mkatabulky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Projekt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proofErr w:type="gramStart"/>
            <w:r w:rsidRPr="00914EF1">
              <w:rPr>
                <w:rFonts w:asciiTheme="minorHAnsi" w:hAnsiTheme="minorHAnsi"/>
              </w:rPr>
              <w:t>CZ .1.07/1.1.36/02.0066</w:t>
            </w:r>
            <w:proofErr w:type="gramEnd"/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Autor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Petra Kašpárková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Předmět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Chemie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Výukový materiál téma</w:t>
            </w:r>
          </w:p>
        </w:tc>
        <w:tc>
          <w:tcPr>
            <w:tcW w:w="3299" w:type="dxa"/>
          </w:tcPr>
          <w:p w:rsidR="00BE7FAE" w:rsidRPr="00914EF1" w:rsidRDefault="00370438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Soli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Výuková materiál soubor</w:t>
            </w:r>
          </w:p>
        </w:tc>
        <w:tc>
          <w:tcPr>
            <w:tcW w:w="3299" w:type="dxa"/>
          </w:tcPr>
          <w:p w:rsidR="00BE7FAE" w:rsidRPr="00914EF1" w:rsidRDefault="00370438" w:rsidP="00252B15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21_Soli</w:t>
            </w:r>
          </w:p>
        </w:tc>
      </w:tr>
    </w:tbl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D44640" w:rsidRDefault="00D44640" w:rsidP="00CE51C8">
      <w:pPr>
        <w:pStyle w:val="Bezmezer"/>
      </w:pPr>
    </w:p>
    <w:p w:rsidR="00BE7FAE" w:rsidRPr="00BE7FAE" w:rsidRDefault="00BE7FAE" w:rsidP="00BE7FAE">
      <w:pPr>
        <w:spacing w:before="0" w:after="0" w:line="360" w:lineRule="auto"/>
        <w:ind w:firstLine="0"/>
        <w:rPr>
          <w:rFonts w:ascii="Arial" w:eastAsia="Calibri" w:hAnsi="Arial" w:cs="Arial"/>
          <w:sz w:val="32"/>
          <w:szCs w:val="32"/>
        </w:rPr>
      </w:pPr>
      <w:r w:rsidRPr="00BE7FAE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1C4EE7" w:rsidRDefault="002A560B" w:rsidP="001C4EE7">
      <w:r>
        <w:t xml:space="preserve">Pojem soli v sobě ukrývá mnoho látek. Pro výuku </w:t>
      </w:r>
      <w:proofErr w:type="gramStart"/>
      <w:r>
        <w:t>byly vybrány</w:t>
      </w:r>
      <w:proofErr w:type="gramEnd"/>
      <w:r>
        <w:t xml:space="preserve"> nejdůležitější zástupci této skupiny. Pomocí WM je možné zjistit nejen jejich molekulovou hmotnost, strukturu molekuly nebo skupenství, ale také rozpustnost ve vodě. Vše je shrnuto v přehledné tabulce. K procvičení vzorců a názvů solí slouží vytvořený </w:t>
      </w:r>
      <w:proofErr w:type="spellStart"/>
      <w:r>
        <w:t>Manipulate</w:t>
      </w:r>
      <w:proofErr w:type="spellEnd"/>
      <w:r>
        <w:t>, jehož výhodou jsou české názvy sloučenin.</w:t>
      </w:r>
    </w:p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2866FC" w:rsidRDefault="002A560B" w:rsidP="00014D00">
      <w:r>
        <w:t xml:space="preserve">Toto téma </w:t>
      </w:r>
      <w:r w:rsidR="001C4EE7">
        <w:t xml:space="preserve">je zpracováno </w:t>
      </w:r>
      <w:r>
        <w:t xml:space="preserve">k použití </w:t>
      </w:r>
      <w:r w:rsidR="001C4EE7">
        <w:t>p</w:t>
      </w:r>
      <w:r>
        <w:t>ři</w:t>
      </w:r>
      <w:r w:rsidR="001C4EE7">
        <w:t xml:space="preserve"> výklad</w:t>
      </w:r>
      <w:r w:rsidR="00A47577">
        <w:t>u nebo</w:t>
      </w:r>
      <w:r w:rsidR="001C4EE7">
        <w:t xml:space="preserve"> pro samostatné opakování. Tabulka s</w:t>
      </w:r>
      <w:r>
        <w:t xml:space="preserve"> vlastnostmi solí </w:t>
      </w:r>
      <w:r w:rsidR="001C4EE7">
        <w:t>obsahuje</w:t>
      </w:r>
      <w:r>
        <w:t xml:space="preserve"> název (anglický), molekulový vz</w:t>
      </w:r>
      <w:r w:rsidR="001C4EE7">
        <w:t xml:space="preserve">orec, strukturní vzorec, </w:t>
      </w:r>
      <w:r>
        <w:t>molekulovou hmotnost, skupenství a údaj o rozpustnosti ve vodě</w:t>
      </w:r>
      <w:r w:rsidR="001C4EE7">
        <w:t xml:space="preserve"> viz Obr. 1. Žáci tak rychle a</w:t>
      </w:r>
      <w:r w:rsidR="008332FB">
        <w:t> </w:t>
      </w:r>
      <w:r w:rsidR="001C4EE7">
        <w:t>snadno získají základní představu o některých vlastnostech těchto látek, aniž by museli studovat složitou odbornou literaturu.</w:t>
      </w:r>
    </w:p>
    <w:p w:rsidR="00020DDB" w:rsidRDefault="00020DDB" w:rsidP="00014D00"/>
    <w:p w:rsidR="00020DDB" w:rsidRDefault="00020DDB" w:rsidP="00020DDB">
      <w:pPr>
        <w:jc w:val="center"/>
      </w:pPr>
      <w:r>
        <w:rPr>
          <w:noProof/>
          <w:szCs w:val="24"/>
          <w:lang w:eastAsia="cs-CZ"/>
        </w:rPr>
        <w:drawing>
          <wp:inline distT="0" distB="0" distL="0" distR="0" wp14:anchorId="3487EAB9" wp14:editId="5D448503">
            <wp:extent cx="1956021" cy="277761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12" cy="28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DB" w:rsidRDefault="00020DDB" w:rsidP="00020DDB">
      <w:pPr>
        <w:jc w:val="center"/>
      </w:pPr>
      <w:r w:rsidRPr="00020DDB">
        <w:rPr>
          <w:b/>
          <w:bCs/>
          <w:color w:val="000000" w:themeColor="text1"/>
          <w:sz w:val="18"/>
          <w:szCs w:val="18"/>
        </w:rPr>
        <w:t xml:space="preserve">Obrázek </w:t>
      </w:r>
      <w:r w:rsidRPr="00020DDB">
        <w:rPr>
          <w:b/>
          <w:bCs/>
          <w:color w:val="000000" w:themeColor="text1"/>
          <w:sz w:val="18"/>
          <w:szCs w:val="18"/>
        </w:rPr>
        <w:fldChar w:fldCharType="begin"/>
      </w:r>
      <w:r w:rsidRPr="00020DDB">
        <w:rPr>
          <w:b/>
          <w:bCs/>
          <w:color w:val="000000" w:themeColor="text1"/>
          <w:sz w:val="18"/>
          <w:szCs w:val="18"/>
        </w:rPr>
        <w:instrText xml:space="preserve"> SEQ Obrázek \* ARABIC </w:instrText>
      </w:r>
      <w:r w:rsidRPr="00020DDB">
        <w:rPr>
          <w:b/>
          <w:bCs/>
          <w:color w:val="000000" w:themeColor="text1"/>
          <w:sz w:val="18"/>
          <w:szCs w:val="18"/>
        </w:rPr>
        <w:fldChar w:fldCharType="separate"/>
      </w:r>
      <w:r w:rsidR="00624E06">
        <w:rPr>
          <w:b/>
          <w:bCs/>
          <w:noProof/>
          <w:color w:val="000000" w:themeColor="text1"/>
          <w:sz w:val="18"/>
          <w:szCs w:val="18"/>
        </w:rPr>
        <w:t>1</w:t>
      </w:r>
      <w:r w:rsidRPr="00020DDB">
        <w:rPr>
          <w:b/>
          <w:bCs/>
          <w:color w:val="000000" w:themeColor="text1"/>
          <w:sz w:val="18"/>
          <w:szCs w:val="18"/>
        </w:rPr>
        <w:fldChar w:fldCharType="end"/>
      </w:r>
      <w:r w:rsidRPr="00020DDB">
        <w:rPr>
          <w:b/>
          <w:bCs/>
          <w:color w:val="000000" w:themeColor="text1"/>
          <w:sz w:val="18"/>
          <w:szCs w:val="18"/>
        </w:rPr>
        <w:t xml:space="preserve"> Přehled solí</w:t>
      </w:r>
    </w:p>
    <w:p w:rsidR="00624E06" w:rsidRDefault="00624E06" w:rsidP="00A47577"/>
    <w:p w:rsidR="00A47577" w:rsidRDefault="00A47577" w:rsidP="00A47577">
      <w:r>
        <w:t xml:space="preserve">Teoretická část obsahuje zápis různých typů chemických </w:t>
      </w:r>
      <w:proofErr w:type="gramStart"/>
      <w:r>
        <w:t>rovnic jejichž</w:t>
      </w:r>
      <w:proofErr w:type="gramEnd"/>
      <w:r>
        <w:t xml:space="preserve"> produktem mohou být právě soli. Vzhledem k velkému významu těchto látek nechybí ani příklady použití konkrétních látek a přehled oblastí, v nichž je možné se s některými zástupci setkat.</w:t>
      </w:r>
    </w:p>
    <w:p w:rsidR="001C4EE7" w:rsidRDefault="001C4EE7" w:rsidP="001C4EE7">
      <w:r>
        <w:t xml:space="preserve">Vzhledem k tomu, že </w:t>
      </w:r>
      <w:r w:rsidR="008332FB">
        <w:t>názvosloví solí</w:t>
      </w:r>
      <w:r>
        <w:t xml:space="preserve"> není pro žáky snadné, je </w:t>
      </w:r>
      <w:r w:rsidR="00A47577">
        <w:t>součástí</w:t>
      </w:r>
      <w:r>
        <w:t xml:space="preserve"> </w:t>
      </w:r>
      <w:r w:rsidR="00A47577">
        <w:t>materiálu také</w:t>
      </w:r>
      <w:r>
        <w:t xml:space="preserve"> </w:t>
      </w:r>
      <w:proofErr w:type="spellStart"/>
      <w:r w:rsidR="008332FB">
        <w:t>Manipulate</w:t>
      </w:r>
      <w:proofErr w:type="spellEnd"/>
      <w:r w:rsidR="008332FB">
        <w:t xml:space="preserve"> se vzorc</w:t>
      </w:r>
      <w:r w:rsidR="00A47577">
        <w:t>i</w:t>
      </w:r>
      <w:r>
        <w:t xml:space="preserve"> </w:t>
      </w:r>
      <w:r w:rsidR="008332FB">
        <w:t>m</w:t>
      </w:r>
      <w:r>
        <w:t>olekulovým</w:t>
      </w:r>
      <w:r w:rsidR="00A47577">
        <w:t>i</w:t>
      </w:r>
      <w:r>
        <w:t xml:space="preserve"> a </w:t>
      </w:r>
      <w:r w:rsidR="008332FB">
        <w:t>strukturním</w:t>
      </w:r>
      <w:r w:rsidR="00A47577">
        <w:t>i</w:t>
      </w:r>
      <w:r>
        <w:t xml:space="preserve"> (</w:t>
      </w:r>
      <w:r w:rsidR="008332FB">
        <w:t>možnost</w:t>
      </w:r>
      <w:r>
        <w:t xml:space="preserve"> výběru)</w:t>
      </w:r>
      <w:r w:rsidR="00A47577">
        <w:t>. Velkou výhodou je české pojmenování vybraných</w:t>
      </w:r>
      <w:r>
        <w:t xml:space="preserve"> </w:t>
      </w:r>
      <w:r w:rsidR="00B53FE9">
        <w:t>látek. Ž</w:t>
      </w:r>
      <w:r>
        <w:t xml:space="preserve">áci </w:t>
      </w:r>
      <w:r w:rsidR="00B53FE9">
        <w:t xml:space="preserve">si </w:t>
      </w:r>
      <w:r>
        <w:t xml:space="preserve">mohou zopakovat </w:t>
      </w:r>
      <w:r w:rsidR="00B53FE9">
        <w:t xml:space="preserve">a upevnit tvorbu </w:t>
      </w:r>
      <w:r>
        <w:t xml:space="preserve">názvosloví </w:t>
      </w:r>
      <w:r w:rsidR="00B53FE9">
        <w:t>při samostudiu nebo opakování v hodině</w:t>
      </w:r>
      <w:r w:rsidR="008332FB">
        <w:t xml:space="preserve">, </w:t>
      </w:r>
      <w:r>
        <w:t>viz Obr. 2</w:t>
      </w:r>
      <w:r w:rsidR="008332FB">
        <w:t xml:space="preserve"> a 3.</w:t>
      </w:r>
      <w:r w:rsidR="00B53FE9">
        <w:t xml:space="preserve"> Strukturní vzorce lépe vystihují charakter látky, zvláště počet atomů a oxidační číslo kationtu kovu. Tento typ vzorců je vhodný ukázat pro lepší představu vzniku soli a jejího vzorce.</w:t>
      </w:r>
    </w:p>
    <w:p w:rsidR="00B53FE9" w:rsidRDefault="00B53FE9" w:rsidP="001C4EE7"/>
    <w:p w:rsidR="008332FB" w:rsidRDefault="008332FB" w:rsidP="00DD718B">
      <w:pPr>
        <w:pStyle w:val="Titulek"/>
        <w:jc w:val="center"/>
        <w:rPr>
          <w:color w:val="000000" w:themeColor="text1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65630" cy="1265555"/>
            <wp:effectExtent l="19050" t="0" r="127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E7" w:rsidRDefault="002866FC" w:rsidP="00DD718B">
      <w:pPr>
        <w:pStyle w:val="Titulek"/>
        <w:jc w:val="center"/>
        <w:rPr>
          <w:color w:val="000000" w:themeColor="text1"/>
        </w:rPr>
      </w:pPr>
      <w:r w:rsidRPr="002866FC">
        <w:rPr>
          <w:color w:val="000000" w:themeColor="text1"/>
        </w:rPr>
        <w:t xml:space="preserve">Obrázek </w:t>
      </w:r>
      <w:r w:rsidR="002B0776" w:rsidRPr="002866FC">
        <w:rPr>
          <w:color w:val="000000" w:themeColor="text1"/>
        </w:rPr>
        <w:fldChar w:fldCharType="begin"/>
      </w:r>
      <w:r w:rsidRPr="002866FC">
        <w:rPr>
          <w:color w:val="000000" w:themeColor="text1"/>
        </w:rPr>
        <w:instrText xml:space="preserve"> SEQ Obrázek \* ARABIC </w:instrText>
      </w:r>
      <w:r w:rsidR="002B0776" w:rsidRPr="002866FC">
        <w:rPr>
          <w:color w:val="000000" w:themeColor="text1"/>
        </w:rPr>
        <w:fldChar w:fldCharType="separate"/>
      </w:r>
      <w:r w:rsidR="00624E06">
        <w:rPr>
          <w:noProof/>
          <w:color w:val="000000" w:themeColor="text1"/>
        </w:rPr>
        <w:t>2</w:t>
      </w:r>
      <w:r w:rsidR="002B0776" w:rsidRPr="002866FC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 w:rsidR="008332FB">
        <w:rPr>
          <w:color w:val="000000" w:themeColor="text1"/>
        </w:rPr>
        <w:t>Molekulový</w:t>
      </w:r>
      <w:r w:rsidR="00DD71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vzorec </w:t>
      </w:r>
      <w:r w:rsidR="008332FB">
        <w:rPr>
          <w:color w:val="000000" w:themeColor="text1"/>
        </w:rPr>
        <w:t>uhličitanu draselného</w:t>
      </w:r>
    </w:p>
    <w:p w:rsidR="008332FB" w:rsidRPr="008332FB" w:rsidRDefault="008332FB" w:rsidP="008332FB">
      <w:pPr>
        <w:jc w:val="center"/>
      </w:pPr>
      <w:r>
        <w:rPr>
          <w:noProof/>
          <w:szCs w:val="24"/>
          <w:lang w:eastAsia="cs-CZ"/>
        </w:rPr>
        <w:drawing>
          <wp:inline distT="0" distB="0" distL="0" distR="0">
            <wp:extent cx="1945640" cy="1858010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FB" w:rsidRDefault="008332FB" w:rsidP="008332FB">
      <w:pPr>
        <w:pStyle w:val="Titulek"/>
        <w:jc w:val="center"/>
        <w:rPr>
          <w:color w:val="000000" w:themeColor="text1"/>
        </w:rPr>
      </w:pPr>
      <w:r w:rsidRPr="002866FC">
        <w:rPr>
          <w:color w:val="000000" w:themeColor="text1"/>
        </w:rPr>
        <w:t xml:space="preserve">Obrázek </w:t>
      </w:r>
      <w:r w:rsidRPr="002866FC">
        <w:rPr>
          <w:color w:val="000000" w:themeColor="text1"/>
        </w:rPr>
        <w:fldChar w:fldCharType="begin"/>
      </w:r>
      <w:r w:rsidRPr="002866FC">
        <w:rPr>
          <w:color w:val="000000" w:themeColor="text1"/>
        </w:rPr>
        <w:instrText xml:space="preserve"> SEQ Obrázek \* ARABIC </w:instrText>
      </w:r>
      <w:r w:rsidRPr="002866FC">
        <w:rPr>
          <w:color w:val="000000" w:themeColor="text1"/>
        </w:rPr>
        <w:fldChar w:fldCharType="separate"/>
      </w:r>
      <w:r w:rsidR="00624E06">
        <w:rPr>
          <w:noProof/>
          <w:color w:val="000000" w:themeColor="text1"/>
        </w:rPr>
        <w:t>3</w:t>
      </w:r>
      <w:r w:rsidRPr="002866FC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Strukturní vzorec uhličitanu draselného</w:t>
      </w:r>
    </w:p>
    <w:p w:rsidR="00313975" w:rsidRPr="00313975" w:rsidRDefault="00313975" w:rsidP="00313975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 xml:space="preserve">Technický popis materiálu (komentář k systému Wolfram </w:t>
      </w:r>
      <w:proofErr w:type="spellStart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D44640" w:rsidRDefault="001C4EE7" w:rsidP="001C4EE7">
      <w:r>
        <w:t xml:space="preserve">Popsat pomocí WM jen několik vybraných </w:t>
      </w:r>
      <w:r w:rsidR="00A47577">
        <w:t>solí</w:t>
      </w:r>
      <w:r>
        <w:t xml:space="preserve"> je poněkud problematické. </w:t>
      </w:r>
      <w:r w:rsidR="00020DDB">
        <w:t>P</w:t>
      </w:r>
      <w:r>
        <w:t xml:space="preserve">říkaz </w:t>
      </w:r>
      <w:proofErr w:type="spellStart"/>
      <w:r>
        <w:t>ChemicalData</w:t>
      </w:r>
      <w:proofErr w:type="spellEnd"/>
      <w:r w:rsidR="00020DDB">
        <w:t xml:space="preserve"> slouží k popisu sloučenin</w:t>
      </w:r>
      <w:r>
        <w:t xml:space="preserve">. Po zadání </w:t>
      </w:r>
      <w:proofErr w:type="spellStart"/>
      <w:r>
        <w:t>ChemicalData</w:t>
      </w:r>
      <w:proofErr w:type="spellEnd"/>
      <w:r>
        <w:t>["</w:t>
      </w:r>
      <w:proofErr w:type="spellStart"/>
      <w:r w:rsidR="00020DDB">
        <w:t>Salts</w:t>
      </w:r>
      <w:proofErr w:type="spellEnd"/>
      <w:r>
        <w:t>"] je výstupem</w:t>
      </w:r>
      <w:r w:rsidR="00020DDB">
        <w:t xml:space="preserve"> více než 1000 anglických názvů solí</w:t>
      </w:r>
      <w:r>
        <w:t xml:space="preserve">. Z tohoto důvodu byl do proměnné </w:t>
      </w:r>
      <w:r w:rsidR="00020DDB">
        <w:rPr>
          <w:i/>
        </w:rPr>
        <w:t>soli</w:t>
      </w:r>
      <w:r>
        <w:t xml:space="preserve"> ručně zadán seznam </w:t>
      </w:r>
    </w:p>
    <w:p w:rsidR="00D44640" w:rsidRDefault="00D44640" w:rsidP="001C4EE7"/>
    <w:p w:rsidR="00D44640" w:rsidRDefault="00D44640" w:rsidP="001C4EE7"/>
    <w:p w:rsidR="001C4EE7" w:rsidRDefault="001C4EE7" w:rsidP="00D44640">
      <w:pPr>
        <w:ind w:firstLine="0"/>
      </w:pPr>
      <w:bookmarkStart w:id="0" w:name="_GoBack"/>
      <w:bookmarkEnd w:id="0"/>
      <w:r>
        <w:t>vybraných látek (vzorců). Tato proměnná pak byla využita při tvorbě tabulky společně s dalšími příkazy</w:t>
      </w:r>
      <w:r w:rsidR="00020DDB">
        <w:t>:</w:t>
      </w:r>
    </w:p>
    <w:p w:rsidR="00313975" w:rsidRDefault="00313975" w:rsidP="001C4EE7"/>
    <w:p w:rsidR="001C4EE7" w:rsidRDefault="00D52FF7" w:rsidP="001C4EE7">
      <w:proofErr w:type="spellStart"/>
      <w:r>
        <w:t>ChemicalData</w:t>
      </w:r>
      <w:proofErr w:type="spellEnd"/>
      <w:r>
        <w:t>["</w:t>
      </w:r>
      <w:proofErr w:type="spellStart"/>
      <w:r w:rsidR="00020DDB">
        <w:t>Na</w:t>
      </w:r>
      <w:r>
        <w:t>Cl</w:t>
      </w:r>
      <w:proofErr w:type="spellEnd"/>
      <w:r w:rsidR="001C4EE7">
        <w:t>",</w:t>
      </w:r>
      <w:r w:rsidR="001C4EE7" w:rsidRPr="00604286">
        <w:t>"</w:t>
      </w:r>
      <w:proofErr w:type="spellStart"/>
      <w:r w:rsidR="001C4EE7" w:rsidRPr="00604286">
        <w:t>MolecularFormulaDisplay</w:t>
      </w:r>
      <w:proofErr w:type="spellEnd"/>
      <w:r w:rsidR="001C4EE7" w:rsidRPr="00604286">
        <w:t>"</w:t>
      </w:r>
      <w:r w:rsidR="001C4EE7">
        <w:t>]</w:t>
      </w:r>
      <w:r w:rsidR="001C4EE7">
        <w:tab/>
      </w:r>
      <w:r>
        <w:tab/>
      </w:r>
      <w:r w:rsidR="001C4EE7">
        <w:t>molekulový vzorec</w:t>
      </w:r>
    </w:p>
    <w:p w:rsidR="001C4EE7" w:rsidRDefault="00020DDB" w:rsidP="001C4EE7">
      <w:proofErr w:type="spellStart"/>
      <w:r>
        <w:t>ChemicalData</w:t>
      </w:r>
      <w:proofErr w:type="spellEnd"/>
      <w:r>
        <w:t>["</w:t>
      </w:r>
      <w:proofErr w:type="spellStart"/>
      <w:r>
        <w:t>Na</w:t>
      </w:r>
      <w:r w:rsidR="00D52FF7">
        <w:t>Cl</w:t>
      </w:r>
      <w:proofErr w:type="spellEnd"/>
      <w:r w:rsidR="001C4EE7">
        <w:t>",</w:t>
      </w:r>
      <w:r w:rsidR="001C4EE7" w:rsidRPr="00604286">
        <w:t>"</w:t>
      </w:r>
      <w:proofErr w:type="spellStart"/>
      <w:r w:rsidR="001C4EE7">
        <w:t>CHStructureDiagram</w:t>
      </w:r>
      <w:proofErr w:type="spellEnd"/>
      <w:r w:rsidR="001C4EE7" w:rsidRPr="00604286">
        <w:t>"</w:t>
      </w:r>
      <w:r w:rsidR="001C4EE7">
        <w:t>]</w:t>
      </w:r>
      <w:r w:rsidR="001C4EE7">
        <w:tab/>
      </w:r>
      <w:r w:rsidR="001C4EE7">
        <w:tab/>
        <w:t>strukturní vzorec</w:t>
      </w:r>
    </w:p>
    <w:p w:rsidR="00020DDB" w:rsidRDefault="00020DDB" w:rsidP="00020DDB">
      <w:proofErr w:type="spellStart"/>
      <w:r>
        <w:t>ChemicalData</w:t>
      </w:r>
      <w:proofErr w:type="spellEnd"/>
      <w:r>
        <w:t>["</w:t>
      </w:r>
      <w:proofErr w:type="spellStart"/>
      <w:r>
        <w:t>NaCl</w:t>
      </w:r>
      <w:proofErr w:type="spellEnd"/>
      <w:r>
        <w:t>",</w:t>
      </w:r>
      <w:r w:rsidRPr="00604286">
        <w:t>"</w:t>
      </w:r>
      <w:proofErr w:type="spellStart"/>
      <w:r>
        <w:t>MolecularWeight</w:t>
      </w:r>
      <w:proofErr w:type="spellEnd"/>
      <w:r w:rsidRPr="00604286">
        <w:t>"</w:t>
      </w:r>
      <w:r>
        <w:t>]</w:t>
      </w:r>
      <w:r>
        <w:tab/>
      </w:r>
      <w:r>
        <w:tab/>
      </w:r>
      <w:r>
        <w:tab/>
        <w:t>molekulová hmotnost</w:t>
      </w:r>
    </w:p>
    <w:p w:rsidR="00415542" w:rsidRDefault="00415542" w:rsidP="00415542">
      <w:proofErr w:type="spellStart"/>
      <w:r>
        <w:t>ChemicalData</w:t>
      </w:r>
      <w:proofErr w:type="spellEnd"/>
      <w:r>
        <w:t>["</w:t>
      </w:r>
      <w:proofErr w:type="spellStart"/>
      <w:r>
        <w:t>NaCl</w:t>
      </w:r>
      <w:proofErr w:type="spellEnd"/>
      <w:r>
        <w:t>",</w:t>
      </w:r>
      <w:r w:rsidRPr="00604286">
        <w:t>"</w:t>
      </w:r>
      <w:proofErr w:type="spellStart"/>
      <w:r>
        <w:t>Phase</w:t>
      </w:r>
      <w:proofErr w:type="spellEnd"/>
      <w:r w:rsidRPr="00604286">
        <w:t>"</w:t>
      </w:r>
      <w:r>
        <w:t>]</w:t>
      </w:r>
      <w:r>
        <w:tab/>
      </w:r>
      <w:r>
        <w:tab/>
      </w:r>
      <w:r>
        <w:tab/>
      </w:r>
      <w:r>
        <w:tab/>
        <w:t>skupenství</w:t>
      </w:r>
    </w:p>
    <w:p w:rsidR="00415542" w:rsidRDefault="00415542" w:rsidP="00415542">
      <w:proofErr w:type="spellStart"/>
      <w:r>
        <w:t>ChemicalData</w:t>
      </w:r>
      <w:proofErr w:type="spellEnd"/>
      <w:r>
        <w:t>["</w:t>
      </w:r>
      <w:proofErr w:type="spellStart"/>
      <w:r>
        <w:t>NaCl</w:t>
      </w:r>
      <w:proofErr w:type="spellEnd"/>
      <w:r>
        <w:t>",</w:t>
      </w:r>
      <w:r w:rsidRPr="00604286">
        <w:t>"</w:t>
      </w:r>
      <w:proofErr w:type="spellStart"/>
      <w:r>
        <w:t>SolubilityType</w:t>
      </w:r>
      <w:proofErr w:type="spellEnd"/>
      <w:r w:rsidRPr="00604286">
        <w:t>"</w:t>
      </w:r>
      <w:r>
        <w:t>]</w:t>
      </w:r>
      <w:r>
        <w:tab/>
      </w:r>
      <w:r>
        <w:tab/>
      </w:r>
      <w:r>
        <w:tab/>
        <w:t>rozpustnost ve vodě</w:t>
      </w:r>
    </w:p>
    <w:p w:rsidR="00415542" w:rsidRDefault="00415542" w:rsidP="00415542"/>
    <w:p w:rsidR="001C4EE7" w:rsidRDefault="001C4EE7" w:rsidP="001C4EE7">
      <w:pPr>
        <w:ind w:left="927" w:firstLine="0"/>
      </w:pPr>
      <w:r>
        <w:t xml:space="preserve">Pro </w:t>
      </w:r>
      <w:proofErr w:type="spellStart"/>
      <w:r w:rsidR="00415542">
        <w:t>Manipulate</w:t>
      </w:r>
      <w:proofErr w:type="spellEnd"/>
      <w:r w:rsidR="00415542">
        <w:t xml:space="preserve"> Vzorce solí byl</w:t>
      </w:r>
      <w:r>
        <w:t xml:space="preserve"> vytvořen samostatný seznam, v tomto případě nazvaný </w:t>
      </w:r>
      <w:proofErr w:type="spellStart"/>
      <w:r w:rsidRPr="00D52FF7">
        <w:rPr>
          <w:i/>
        </w:rPr>
        <w:t>data</w:t>
      </w:r>
      <w:r w:rsidR="00415542">
        <w:rPr>
          <w:i/>
        </w:rPr>
        <w:t>s</w:t>
      </w:r>
      <w:proofErr w:type="spellEnd"/>
      <w:r>
        <w:t xml:space="preserve">, obsahující vzorec a český název. Další seznam nazvaný </w:t>
      </w:r>
      <w:proofErr w:type="spellStart"/>
      <w:r w:rsidRPr="00D52FF7">
        <w:rPr>
          <w:i/>
        </w:rPr>
        <w:t>fulldata</w:t>
      </w:r>
      <w:proofErr w:type="spellEnd"/>
      <w:r>
        <w:t xml:space="preserve"> zajistí vytvoření čtveřic tak, aby se ke dvojici ze seznamu </w:t>
      </w:r>
      <w:proofErr w:type="spellStart"/>
      <w:r w:rsidRPr="002866FC">
        <w:rPr>
          <w:i/>
        </w:rPr>
        <w:t>data</w:t>
      </w:r>
      <w:r w:rsidR="00415542">
        <w:rPr>
          <w:i/>
        </w:rPr>
        <w:t>s</w:t>
      </w:r>
      <w:proofErr w:type="spellEnd"/>
      <w:r>
        <w:t xml:space="preserve"> připojil příslušný vzorec molekulový a strukturní. Příkaz </w:t>
      </w:r>
      <w:proofErr w:type="spellStart"/>
      <w:r>
        <w:t>Manipulate</w:t>
      </w:r>
      <w:proofErr w:type="spellEnd"/>
      <w:r>
        <w:t xml:space="preserve"> pak pomocí vhodně nastavených parametrů zajistí správné zobrazení vzorců po výběru.</w:t>
      </w:r>
    </w:p>
    <w:p w:rsidR="00BE7FAE" w:rsidRDefault="00BE7FAE" w:rsidP="00472F9D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087F18" w:rsidRDefault="00087F18" w:rsidP="001C4EE7">
      <w:r>
        <w:t xml:space="preserve">Pokud žáci nemají v hodině přístup k počítačům, je možné využít tabulku Přehled solí při frontální výuce. </w:t>
      </w:r>
      <w:proofErr w:type="spellStart"/>
      <w:r>
        <w:t>Manipulate</w:t>
      </w:r>
      <w:proofErr w:type="spellEnd"/>
      <w:r>
        <w:t xml:space="preserve"> se vzorci solí samozřejmě také, ale ocení ho především ti, kteří si jej mohou sami vyzkoušet. Jeho výhodou je interaktivita </w:t>
      </w:r>
      <w:r w:rsidRPr="00B041B2">
        <w:t>a</w:t>
      </w:r>
      <w:r>
        <w:t> </w:t>
      </w:r>
      <w:r w:rsidRPr="00B041B2">
        <w:t>libovolná</w:t>
      </w:r>
      <w:r>
        <w:t xml:space="preserve"> možnost opakování. </w:t>
      </w:r>
    </w:p>
    <w:p w:rsidR="00087F18" w:rsidRPr="00087F18" w:rsidRDefault="00087F18" w:rsidP="00087F18">
      <w:r>
        <w:t xml:space="preserve">Pokud by vybrané vzorce nestačily, učitel může podle potřeby jednoduše přidat další. Pokud použije proměnnou </w:t>
      </w:r>
      <w:r>
        <w:rPr>
          <w:i/>
        </w:rPr>
        <w:t xml:space="preserve">soli, </w:t>
      </w:r>
      <w:r>
        <w:t xml:space="preserve">rozšíří tabulku s přehledem, pokud vzorec a název přidá do proměnné </w:t>
      </w:r>
      <w:proofErr w:type="spellStart"/>
      <w:r w:rsidRPr="00D52FF7">
        <w:rPr>
          <w:i/>
        </w:rPr>
        <w:t>data</w:t>
      </w:r>
      <w:r>
        <w:rPr>
          <w:i/>
        </w:rPr>
        <w:t>s</w:t>
      </w:r>
      <w:proofErr w:type="spellEnd"/>
      <w:r>
        <w:rPr>
          <w:i/>
        </w:rPr>
        <w:t xml:space="preserve">, </w:t>
      </w:r>
      <w:r w:rsidRPr="00087F18">
        <w:t xml:space="preserve">rozšíří </w:t>
      </w:r>
      <w:proofErr w:type="spellStart"/>
      <w:r w:rsidRPr="00087F18">
        <w:t>Manipulate</w:t>
      </w:r>
      <w:proofErr w:type="spellEnd"/>
      <w:r>
        <w:rPr>
          <w:i/>
        </w:rPr>
        <w:t>.</w:t>
      </w:r>
    </w:p>
    <w:sectPr w:rsidR="00087F18" w:rsidRPr="00087F18" w:rsidSect="00723F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F1" w:rsidRDefault="00914EF1" w:rsidP="00914EF1">
      <w:pPr>
        <w:spacing w:before="0" w:after="0" w:line="240" w:lineRule="auto"/>
      </w:pPr>
      <w:r>
        <w:separator/>
      </w:r>
    </w:p>
  </w:endnote>
  <w:endnote w:type="continuationSeparator" w:id="0">
    <w:p w:rsidR="00914EF1" w:rsidRDefault="00914EF1" w:rsidP="00914E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F1" w:rsidRDefault="00914EF1" w:rsidP="00914EF1">
      <w:pPr>
        <w:spacing w:before="0" w:after="0" w:line="240" w:lineRule="auto"/>
      </w:pPr>
      <w:r>
        <w:separator/>
      </w:r>
    </w:p>
  </w:footnote>
  <w:footnote w:type="continuationSeparator" w:id="0">
    <w:p w:rsidR="00914EF1" w:rsidRDefault="00914EF1" w:rsidP="00914E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F1" w:rsidRDefault="00914EF1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4106"/>
    <w:multiLevelType w:val="hybridMultilevel"/>
    <w:tmpl w:val="A46AE62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B50E6"/>
    <w:multiLevelType w:val="hybridMultilevel"/>
    <w:tmpl w:val="90605E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D32D4D"/>
    <w:multiLevelType w:val="hybridMultilevel"/>
    <w:tmpl w:val="6396F134"/>
    <w:lvl w:ilvl="0" w:tplc="3424B94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CE5850"/>
    <w:multiLevelType w:val="hybridMultilevel"/>
    <w:tmpl w:val="916075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74AB4"/>
    <w:multiLevelType w:val="hybridMultilevel"/>
    <w:tmpl w:val="42EE078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ED250D"/>
    <w:multiLevelType w:val="hybridMultilevel"/>
    <w:tmpl w:val="46D48B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540D83"/>
    <w:multiLevelType w:val="hybridMultilevel"/>
    <w:tmpl w:val="33802F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689"/>
    <w:rsid w:val="00014D00"/>
    <w:rsid w:val="00020DDB"/>
    <w:rsid w:val="00072645"/>
    <w:rsid w:val="00087F18"/>
    <w:rsid w:val="00095539"/>
    <w:rsid w:val="000D03AB"/>
    <w:rsid w:val="000E20F8"/>
    <w:rsid w:val="001327D2"/>
    <w:rsid w:val="001673A5"/>
    <w:rsid w:val="001721EF"/>
    <w:rsid w:val="00190732"/>
    <w:rsid w:val="001C4EE7"/>
    <w:rsid w:val="00252B15"/>
    <w:rsid w:val="00264089"/>
    <w:rsid w:val="0028503F"/>
    <w:rsid w:val="002866FC"/>
    <w:rsid w:val="002A560B"/>
    <w:rsid w:val="002B0776"/>
    <w:rsid w:val="00313975"/>
    <w:rsid w:val="00350F21"/>
    <w:rsid w:val="00370438"/>
    <w:rsid w:val="003E5478"/>
    <w:rsid w:val="003F6056"/>
    <w:rsid w:val="00415542"/>
    <w:rsid w:val="00425689"/>
    <w:rsid w:val="00472F9D"/>
    <w:rsid w:val="004E480E"/>
    <w:rsid w:val="004E4D71"/>
    <w:rsid w:val="00503C5D"/>
    <w:rsid w:val="005127D8"/>
    <w:rsid w:val="00547C0E"/>
    <w:rsid w:val="00570762"/>
    <w:rsid w:val="005A06CD"/>
    <w:rsid w:val="00624E06"/>
    <w:rsid w:val="006A6BCF"/>
    <w:rsid w:val="006D0682"/>
    <w:rsid w:val="00707D11"/>
    <w:rsid w:val="00723F7E"/>
    <w:rsid w:val="0076751D"/>
    <w:rsid w:val="007E263E"/>
    <w:rsid w:val="00807BAA"/>
    <w:rsid w:val="008213AB"/>
    <w:rsid w:val="008332FB"/>
    <w:rsid w:val="008A6C0E"/>
    <w:rsid w:val="008C4687"/>
    <w:rsid w:val="008E72AF"/>
    <w:rsid w:val="008F5D8B"/>
    <w:rsid w:val="00906E4B"/>
    <w:rsid w:val="00914EF1"/>
    <w:rsid w:val="00927AF3"/>
    <w:rsid w:val="009B1F3F"/>
    <w:rsid w:val="009E235F"/>
    <w:rsid w:val="009E447C"/>
    <w:rsid w:val="00A47577"/>
    <w:rsid w:val="00A56929"/>
    <w:rsid w:val="00A822DE"/>
    <w:rsid w:val="00AD7B9A"/>
    <w:rsid w:val="00B12479"/>
    <w:rsid w:val="00B2104A"/>
    <w:rsid w:val="00B34098"/>
    <w:rsid w:val="00B53FE9"/>
    <w:rsid w:val="00BA0861"/>
    <w:rsid w:val="00BA79EF"/>
    <w:rsid w:val="00BE7FAE"/>
    <w:rsid w:val="00C74BB3"/>
    <w:rsid w:val="00C9350A"/>
    <w:rsid w:val="00CC5820"/>
    <w:rsid w:val="00CD49F0"/>
    <w:rsid w:val="00CE51C8"/>
    <w:rsid w:val="00D223A6"/>
    <w:rsid w:val="00D44640"/>
    <w:rsid w:val="00D52FF7"/>
    <w:rsid w:val="00DC3BDA"/>
    <w:rsid w:val="00DD718B"/>
    <w:rsid w:val="00DE1E2B"/>
    <w:rsid w:val="00E23A7B"/>
    <w:rsid w:val="00E30546"/>
    <w:rsid w:val="00E35CC0"/>
    <w:rsid w:val="00E4609A"/>
    <w:rsid w:val="00E721A0"/>
    <w:rsid w:val="00FA768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134F7-4CC0-411B-A753-0DA184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6CD"/>
    <w:pPr>
      <w:spacing w:before="120" w:after="120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51C8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1C8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DC3BD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MathematicaFormatTextForm">
    <w:name w:val="MathematicaFormatTextForm"/>
    <w:uiPriority w:val="99"/>
    <w:rsid w:val="00CE51C8"/>
  </w:style>
  <w:style w:type="paragraph" w:styleId="Odstavecseseznamem">
    <w:name w:val="List Paragraph"/>
    <w:basedOn w:val="Normln"/>
    <w:uiPriority w:val="34"/>
    <w:qFormat/>
    <w:rsid w:val="004E4D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305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0546"/>
    <w:rPr>
      <w:color w:val="0000FF"/>
      <w:u w:val="single"/>
    </w:rPr>
  </w:style>
  <w:style w:type="paragraph" w:customStyle="1" w:styleId="MathematicaCellText">
    <w:name w:val="MathematicaCellText"/>
    <w:rsid w:val="000E20F8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EF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EF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1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2866F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13975"/>
    <w:rPr>
      <w:color w:val="808080"/>
    </w:rPr>
  </w:style>
  <w:style w:type="character" w:customStyle="1" w:styleId="MathematicaFormatStandardForm">
    <w:name w:val="MathematicaFormatStandardForm"/>
    <w:uiPriority w:val="99"/>
    <w:rsid w:val="002A560B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BBEC-118E-4826-8D5E-AA6161D4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PK</cp:lastModifiedBy>
  <cp:revision>10</cp:revision>
  <dcterms:created xsi:type="dcterms:W3CDTF">2014-09-08T12:34:00Z</dcterms:created>
  <dcterms:modified xsi:type="dcterms:W3CDTF">2014-09-09T11:24:00Z</dcterms:modified>
</cp:coreProperties>
</file>