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center"/>
        <w:outlineLvl w:val="0"/>
        <w:rPr>
          <w:rFonts w:ascii="Arial" w:eastAsia="Times New Roman" w:hAnsi="Arial" w:cs="Times New Roman"/>
          <w:color w:val="000000"/>
          <w:sz w:val="36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6"/>
          <w:szCs w:val="32"/>
        </w:rPr>
        <w:t>Metodický pokyn</w:t>
      </w:r>
    </w:p>
    <w:p w:rsidR="00BE7FAE" w:rsidRDefault="00BE7FAE" w:rsidP="00CE51C8">
      <w:pPr>
        <w:pStyle w:val="Bezmezer"/>
      </w:pPr>
    </w:p>
    <w:tbl>
      <w:tblPr>
        <w:tblStyle w:val="Mkatabulky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Projekt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proofErr w:type="gramStart"/>
            <w:r w:rsidRPr="00914EF1">
              <w:rPr>
                <w:rFonts w:asciiTheme="minorHAnsi" w:hAnsiTheme="minorHAnsi"/>
              </w:rPr>
              <w:t>CZ .1.07/1.1.36/02.0066</w:t>
            </w:r>
            <w:proofErr w:type="gramEnd"/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Autor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Petra Kašpárková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Předmět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Chemie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Výukový materiál téma</w:t>
            </w:r>
          </w:p>
        </w:tc>
        <w:tc>
          <w:tcPr>
            <w:tcW w:w="3299" w:type="dxa"/>
          </w:tcPr>
          <w:p w:rsidR="00BE7FAE" w:rsidRPr="00914EF1" w:rsidRDefault="00F81E99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Kyselost a zásaditost roztoků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Výuková materiál soubor</w:t>
            </w:r>
          </w:p>
        </w:tc>
        <w:tc>
          <w:tcPr>
            <w:tcW w:w="3299" w:type="dxa"/>
          </w:tcPr>
          <w:p w:rsidR="00BE7FAE" w:rsidRPr="00914EF1" w:rsidRDefault="004B1A67" w:rsidP="00252B15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22_Roztoky_pH</w:t>
            </w:r>
          </w:p>
        </w:tc>
      </w:tr>
    </w:tbl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7D2548" w:rsidRDefault="007D2548" w:rsidP="00CE51C8">
      <w:pPr>
        <w:pStyle w:val="Bezmezer"/>
      </w:pPr>
    </w:p>
    <w:p w:rsidR="00BE7FAE" w:rsidRDefault="00BE7FAE" w:rsidP="00BE7FAE">
      <w:pPr>
        <w:spacing w:before="0" w:after="0" w:line="360" w:lineRule="auto"/>
        <w:ind w:firstLine="0"/>
        <w:rPr>
          <w:rFonts w:ascii="Arial" w:eastAsia="Calibri" w:hAnsi="Arial" w:cs="Arial"/>
          <w:sz w:val="32"/>
          <w:szCs w:val="32"/>
        </w:rPr>
      </w:pPr>
      <w:r w:rsidRPr="00BE7FAE">
        <w:rPr>
          <w:rFonts w:ascii="Arial" w:eastAsia="Calibri" w:hAnsi="Arial" w:cs="Arial"/>
          <w:sz w:val="32"/>
          <w:szCs w:val="32"/>
        </w:rPr>
        <w:t>Obsah a vymezení výukového materiálu (anotace)</w:t>
      </w:r>
    </w:p>
    <w:p w:rsidR="007D2548" w:rsidRDefault="00F81E99" w:rsidP="00F81E99">
      <w:r>
        <w:t xml:space="preserve">Materiál je určen k použití při výkladu látky v hodině. Po zvládnutí učiva jej mohou žáci využít pro opakování, kromě teoretické části obsahuje i vzorové příklady na výpočet pH, příklady určené k procvičení a </w:t>
      </w:r>
      <w:r w:rsidR="00451D67">
        <w:t xml:space="preserve">dále </w:t>
      </w:r>
      <w:proofErr w:type="spellStart"/>
      <w:r>
        <w:t>Manipulate</w:t>
      </w:r>
      <w:proofErr w:type="spellEnd"/>
      <w:r>
        <w:t xml:space="preserve"> pro</w:t>
      </w:r>
      <w:r w:rsidR="00451D67">
        <w:t xml:space="preserve"> zobrazení barev na stupnici pH.</w:t>
      </w:r>
    </w:p>
    <w:p w:rsidR="00F81E99" w:rsidRPr="00BE7FAE" w:rsidRDefault="00451D67" w:rsidP="00F81E99">
      <w:r>
        <w:t xml:space="preserve"> </w:t>
      </w:r>
    </w:p>
    <w:p w:rsid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Popis použití ve výuce (didaktická podpora)</w:t>
      </w:r>
    </w:p>
    <w:p w:rsidR="00451D67" w:rsidRDefault="00451D67" w:rsidP="00451D67">
      <w:r>
        <w:t xml:space="preserve">Kyselost a zásaditost roztoků není žákům úplně neznámá. Přesto je třeba vysvětlit původ stupnice pH, způsoby jejího měření, pojmy jako indikátor nebo iontový součin vody. Vytvořený </w:t>
      </w:r>
      <w:proofErr w:type="spellStart"/>
      <w:r>
        <w:t>Manipulate</w:t>
      </w:r>
      <w:proofErr w:type="spellEnd"/>
      <w:r>
        <w:t xml:space="preserve"> Stupnice pH usnadní žákům pochopení této problematiky. Na rozdíl od klasické stupnice pH zobrazující pouze barevnou škálu, ve vytvořeném </w:t>
      </w:r>
      <w:proofErr w:type="spellStart"/>
      <w:r>
        <w:t>Manipulate</w:t>
      </w:r>
      <w:proofErr w:type="spellEnd"/>
      <w:r>
        <w:t xml:space="preserve"> žáci vidí zároveň s hodnotou </w:t>
      </w:r>
      <w:r w:rsidR="004457EA">
        <w:t>pH také</w:t>
      </w:r>
      <w:r>
        <w:t xml:space="preserve"> koncentraci </w:t>
      </w:r>
      <w:r w:rsidR="00347664">
        <w:t>(</w:t>
      </w:r>
      <w:r>
        <w:t>H</w:t>
      </w:r>
      <w:r w:rsidRPr="00451D67">
        <w:rPr>
          <w:vertAlign w:val="subscript"/>
        </w:rPr>
        <w:t>3</w:t>
      </w:r>
      <w:r>
        <w:t>O</w:t>
      </w:r>
      <w:r w:rsidR="00347664">
        <w:t>)</w:t>
      </w:r>
      <w:r w:rsidRPr="00451D67">
        <w:rPr>
          <w:vertAlign w:val="superscript"/>
        </w:rPr>
        <w:t>+</w:t>
      </w:r>
      <w:r>
        <w:t>, zbarvení indikátorového papírku</w:t>
      </w:r>
      <w:r w:rsidR="004457EA">
        <w:t xml:space="preserve"> a zda se jedná o roztok kyselý, zásaditý nebo neutrální. Změny mohou pozorovat plynule oběma směry, zároveň s měnící se koncentrací iontů </w:t>
      </w:r>
      <w:r w:rsidR="00347664">
        <w:t>(</w:t>
      </w:r>
      <w:r w:rsidR="004457EA">
        <w:t>H</w:t>
      </w:r>
      <w:r w:rsidR="004457EA" w:rsidRPr="00451D67">
        <w:rPr>
          <w:vertAlign w:val="subscript"/>
        </w:rPr>
        <w:t>3</w:t>
      </w:r>
      <w:r w:rsidR="004457EA">
        <w:t>O</w:t>
      </w:r>
      <w:r w:rsidR="00347664">
        <w:t>)</w:t>
      </w:r>
      <w:r w:rsidR="004457EA" w:rsidRPr="00451D67">
        <w:rPr>
          <w:vertAlign w:val="superscript"/>
        </w:rPr>
        <w:t>+</w:t>
      </w:r>
      <w:r w:rsidR="004457EA">
        <w:t>. Pro usnadnění z</w:t>
      </w:r>
      <w:r w:rsidR="00FC0084">
        <w:t xml:space="preserve">ápisu a zobrazení je použit jen </w:t>
      </w:r>
      <w:r w:rsidR="004457EA">
        <w:t>index</w:t>
      </w:r>
      <w:r w:rsidR="00FC0084">
        <w:t xml:space="preserve"> mocniny deseti, tedy místo 10</w:t>
      </w:r>
      <w:r w:rsidR="00FC0084" w:rsidRPr="00FC0084">
        <w:rPr>
          <w:vertAlign w:val="superscript"/>
        </w:rPr>
        <w:t>-12</w:t>
      </w:r>
      <w:r w:rsidR="007D2548">
        <w:t xml:space="preserve"> jen -12,</w:t>
      </w:r>
      <w:bookmarkStart w:id="0" w:name="_GoBack"/>
      <w:bookmarkEnd w:id="0"/>
      <w:r w:rsidR="007D2548">
        <w:t xml:space="preserve"> viz Obr. 1.</w:t>
      </w:r>
    </w:p>
    <w:p w:rsidR="00FC0084" w:rsidRDefault="00FC0084" w:rsidP="00451D67">
      <w:r>
        <w:t>Dále se žáci naučí počítat pH roztoků pomocí vzorových příkladů s ukázkami řešení. Příklady je možné řešit postupně nebo najednou dosazením do vzorce. Postupné řešení ukazuje princip stanovení pH roztoku, je ale zbytečně zdlouhavé a pracné. Pokud se žáci v problematice dobře orientují, sami mohou navrhnout řešení, jak postup zjednodušit.</w:t>
      </w:r>
    </w:p>
    <w:p w:rsidR="007D2548" w:rsidRPr="00FC0084" w:rsidRDefault="007D2548" w:rsidP="00451D67"/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 xml:space="preserve">Technický popis materiálu (komentář k systému Wolfram </w:t>
      </w:r>
      <w:proofErr w:type="spellStart"/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Mathematica</w:t>
      </w:r>
      <w:proofErr w:type="spellEnd"/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)</w:t>
      </w:r>
    </w:p>
    <w:p w:rsidR="00313975" w:rsidRDefault="00D14556" w:rsidP="001C4EE7">
      <w:r>
        <w:t>Pro výpočet příkladů nejsou použity žádné speciální funkce. Na začátku každého příkladu je třeba vynulovat proměnné, definovat vzorec pro výpočet, nastavit proměnné a správně interpretovat výsledek:</w:t>
      </w:r>
    </w:p>
    <w:p w:rsidR="007D2548" w:rsidRDefault="007D2548" w:rsidP="001C4EE7"/>
    <w:p w:rsidR="007D2548" w:rsidRPr="007D2548" w:rsidRDefault="007D2548" w:rsidP="007D2548">
      <w:pPr>
        <w:pStyle w:val="Odstavecseseznamem"/>
        <w:ind w:left="1287" w:firstLine="0"/>
        <w:rPr>
          <w:rFonts w:eastAsiaTheme="minorEastAsia"/>
        </w:rPr>
      </w:pPr>
    </w:p>
    <w:p w:rsidR="00D14556" w:rsidRPr="00717F61" w:rsidRDefault="00D14556" w:rsidP="00D14556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>vynulování proměnných</w:t>
      </w:r>
      <w:r>
        <w:tab/>
      </w:r>
      <w: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Clear[</m:t>
        </m:r>
        <m:r>
          <w:rPr>
            <w:rFonts w:ascii="Cambria Math" w:eastAsiaTheme="minorEastAsia" w:hAnsi="Cambria Math"/>
          </w:rPr>
          <m:t>cH</m:t>
        </m:r>
        <m:r>
          <m:rPr>
            <m:sty m:val="p"/>
          </m:rP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>pH</m:t>
        </m:r>
        <m:r>
          <m:rPr>
            <m:sty m:val="p"/>
          </m:rPr>
          <w:rPr>
            <w:rFonts w:ascii="Cambria Math" w:eastAsiaTheme="minorEastAsia" w:hAnsi="Cambria Math"/>
          </w:rPr>
          <m:t>]</m:t>
        </m:r>
      </m:oMath>
    </w:p>
    <w:p w:rsidR="00D14556" w:rsidRPr="00717F61" w:rsidRDefault="00D14556" w:rsidP="00D14556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00717F61">
        <w:rPr>
          <w:rFonts w:eastAsiaTheme="minorEastAsia"/>
        </w:rPr>
        <w:t>definice výrazu pro výpočet</w:t>
      </w:r>
      <w:r w:rsidRPr="00717F61">
        <w:rPr>
          <w:rFonts w:eastAsiaTheme="minorEastAsia"/>
        </w:rPr>
        <w:tab/>
      </w:r>
      <w:r w:rsidRPr="00717F61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pH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Log10</m:t>
        </m:r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cH</m:t>
        </m:r>
        <m:r>
          <w:rPr>
            <w:rFonts w:ascii="Cambria Math" w:hAnsi="Cambria Math"/>
          </w:rPr>
          <m:t>]</m:t>
        </m:r>
      </m:oMath>
    </w:p>
    <w:p w:rsidR="00BE7FAE" w:rsidRDefault="00D14556" w:rsidP="00D14556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00717F61">
        <w:rPr>
          <w:rFonts w:eastAsiaTheme="minorEastAsia"/>
        </w:rPr>
        <w:t>nastavení proměnných</w:t>
      </w:r>
      <w:r w:rsidRPr="00717F61">
        <w:rPr>
          <w:rFonts w:eastAsiaTheme="minorEastAsia"/>
        </w:rPr>
        <w:tab/>
      </w:r>
      <w:r w:rsidRPr="00717F61"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cH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-12</m:t>
            </m:r>
          </m:sup>
        </m:sSup>
        <m:r>
          <w:rPr>
            <w:rFonts w:ascii="Cambria Math" w:eastAsiaTheme="minorEastAsia" w:hAnsi="Cambria Math"/>
          </w:rPr>
          <m:t>;</m:t>
        </m:r>
        <m:r>
          <m:rPr>
            <m:sty m:val="p"/>
          </m:rPr>
          <w:rPr>
            <w:rFonts w:ascii="Cambria Math" w:eastAsiaTheme="minorEastAsia" w:hAnsi="Cambria Math"/>
          </w:rPr>
          <m:t>pH</m:t>
        </m:r>
        <m:r>
          <w:rPr>
            <w:rFonts w:ascii="Cambria Math" w:eastAsiaTheme="minorEastAsia" w:hAnsi="Cambria Math"/>
          </w:rPr>
          <m:t>//N</m:t>
        </m:r>
      </m:oMath>
    </w:p>
    <w:p w:rsidR="00D14556" w:rsidRDefault="00D14556" w:rsidP="00D14556">
      <w:pPr>
        <w:pStyle w:val="Odstavecseseznamem"/>
        <w:ind w:left="1287" w:firstLine="0"/>
        <w:rPr>
          <w:rFonts w:eastAsiaTheme="minorEastAsia"/>
        </w:rPr>
      </w:pPr>
    </w:p>
    <w:p w:rsidR="00D14556" w:rsidRDefault="00D14556" w:rsidP="00D14556">
      <w:r>
        <w:t xml:space="preserve">Pro </w:t>
      </w:r>
      <w:proofErr w:type="spellStart"/>
      <w:r>
        <w:t>Manipulate</w:t>
      </w:r>
      <w:proofErr w:type="spellEnd"/>
      <w:r>
        <w:t xml:space="preserve"> byla definována:</w:t>
      </w:r>
    </w:p>
    <w:p w:rsidR="00D14556" w:rsidRDefault="00D14556" w:rsidP="007D2548">
      <w:pPr>
        <w:pStyle w:val="Odstavecseseznamem"/>
        <w:numPr>
          <w:ilvl w:val="0"/>
          <w:numId w:val="9"/>
        </w:numPr>
      </w:pPr>
      <w:r>
        <w:t>funkce pro výpočet pH</w:t>
      </w:r>
      <w:r>
        <w:tab/>
      </w:r>
      <w:r>
        <w:tab/>
      </w:r>
      <w:r>
        <w:tab/>
      </w:r>
      <w:r>
        <w:tab/>
        <w:t xml:space="preserve"> </w:t>
      </w:r>
      <m:oMath>
        <m:r>
          <m:rPr>
            <m:sty m:val="p"/>
          </m:rPr>
          <w:rPr>
            <w:rFonts w:ascii="Cambria Math" w:hAnsi="Cambria Math"/>
          </w:rPr>
          <m:t>pHfunkce</m:t>
        </m:r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a_</m:t>
        </m:r>
        <m:r>
          <w:rPr>
            <w:rFonts w:ascii="Cambria Math" w:hAnsi="Cambria Math"/>
          </w:rPr>
          <m:t>]:=-</m:t>
        </m:r>
        <m:r>
          <m:rPr>
            <m:sty m:val="p"/>
          </m:rPr>
          <w:rPr>
            <w:rFonts w:ascii="Cambria Math" w:hAnsi="Cambria Math"/>
          </w:rPr>
          <m:t>Log10</m:t>
        </m:r>
        <m:r>
          <w:rPr>
            <w:rFonts w:ascii="Cambria Math" w:hAnsi="Cambria Math"/>
          </w:rPr>
          <m:t>[10^a]</m:t>
        </m:r>
      </m:oMath>
      <w:r>
        <w:t xml:space="preserve"> </w:t>
      </w:r>
    </w:p>
    <w:p w:rsidR="00D14556" w:rsidRPr="007D2548" w:rsidRDefault="00D14556" w:rsidP="007D2548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>proměnná pro zobrazení barev</w:t>
      </w: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pHcolorsHex</m:t>
        </m:r>
      </m:oMath>
    </w:p>
    <w:p w:rsidR="00D14556" w:rsidRDefault="007D2548" w:rsidP="007D2548">
      <w:pPr>
        <w:pStyle w:val="Odstavecseseznamem"/>
        <w:numPr>
          <w:ilvl w:val="0"/>
          <w:numId w:val="9"/>
        </w:numPr>
      </w:pPr>
      <w:r>
        <w:t>proměnná pro zobrazení barev</w:t>
      </w:r>
      <w:r>
        <w:tab/>
      </w:r>
      <w:r>
        <w:tab/>
      </w:r>
      <w:r>
        <w:tab/>
      </w:r>
      <w:proofErr w:type="spellStart"/>
      <w:r>
        <w:t>pHRGB</w:t>
      </w:r>
      <w:proofErr w:type="spellEnd"/>
    </w:p>
    <w:p w:rsidR="007D2548" w:rsidRDefault="007D2548" w:rsidP="00D14556"/>
    <w:p w:rsidR="007D2548" w:rsidRDefault="007D2548" w:rsidP="00D14556">
      <w:r>
        <w:t xml:space="preserve">Vlastní </w:t>
      </w:r>
      <w:proofErr w:type="spellStart"/>
      <w:r>
        <w:t>Manipulate</w:t>
      </w:r>
      <w:proofErr w:type="spellEnd"/>
      <w:r>
        <w:t xml:space="preserve"> byl vytvořen s pomocí dokumentace a nápovědy WM.</w:t>
      </w:r>
    </w:p>
    <w:p w:rsidR="007D2548" w:rsidRPr="00D14556" w:rsidRDefault="007D2548" w:rsidP="00D14556"/>
    <w:p w:rsid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Shrnutí</w:t>
      </w:r>
    </w:p>
    <w:p w:rsidR="00FC0084" w:rsidRDefault="00347664" w:rsidP="00FC0084">
      <w:r>
        <w:t>Pro žáky bývá někdy obtížné pochopit princip stanovení pH roztoků. Vytvořený materiál slouží k vytvoření lepší představy o tom, jak pH roztoku závisí na měnící se koncentraci iontů (</w:t>
      </w:r>
      <w:r>
        <w:t>H</w:t>
      </w:r>
      <w:r w:rsidRPr="00451D67">
        <w:rPr>
          <w:vertAlign w:val="subscript"/>
        </w:rPr>
        <w:t>3</w:t>
      </w:r>
      <w:r>
        <w:t>O</w:t>
      </w:r>
      <w:r>
        <w:t>)</w:t>
      </w:r>
      <w:r w:rsidRPr="00451D67">
        <w:rPr>
          <w:vertAlign w:val="superscript"/>
        </w:rPr>
        <w:t>+</w:t>
      </w:r>
      <w:r>
        <w:t xml:space="preserve">. Vše si mohou sami vyzkoušet pomocí </w:t>
      </w:r>
      <w:proofErr w:type="spellStart"/>
      <w:r>
        <w:t>Manipulate</w:t>
      </w:r>
      <w:proofErr w:type="spellEnd"/>
      <w:r>
        <w:t xml:space="preserve"> se zobrazujícími se údaji o koncentraci iontů (</w:t>
      </w:r>
      <w:r>
        <w:t>H</w:t>
      </w:r>
      <w:r w:rsidRPr="00451D67">
        <w:rPr>
          <w:vertAlign w:val="subscript"/>
        </w:rPr>
        <w:t>3</w:t>
      </w:r>
      <w:r>
        <w:t>O</w:t>
      </w:r>
      <w:r>
        <w:t>)</w:t>
      </w:r>
      <w:r w:rsidRPr="00451D67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a barevnou škálou pH. Vzorové příklady i příklady k procvičení ve sbírce úloh jsou zvolené tak, aby žáci uměli určit pH pokud znají koncentraci jak iontů (</w:t>
      </w:r>
      <w:r>
        <w:t>H</w:t>
      </w:r>
      <w:r w:rsidRPr="00451D67">
        <w:rPr>
          <w:vertAlign w:val="subscript"/>
        </w:rPr>
        <w:t>3</w:t>
      </w:r>
      <w:r>
        <w:t>O</w:t>
      </w:r>
      <w:r>
        <w:t>)</w:t>
      </w:r>
      <w:r w:rsidRPr="00451D67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tak (OH)</w:t>
      </w:r>
      <w:r w:rsidRPr="00347664">
        <w:rPr>
          <w:vertAlign w:val="superscript"/>
        </w:rPr>
        <w:t>-</w:t>
      </w:r>
      <w:r>
        <w:t>.</w:t>
      </w:r>
    </w:p>
    <w:p w:rsidR="007D2548" w:rsidRDefault="007D2548" w:rsidP="007D2548">
      <w:pPr>
        <w:ind w:firstLine="0"/>
      </w:pPr>
    </w:p>
    <w:p w:rsidR="007D2548" w:rsidRDefault="007D2548" w:rsidP="007D2548">
      <w:pPr>
        <w:jc w:val="center"/>
      </w:pPr>
      <w:r>
        <w:rPr>
          <w:noProof/>
          <w:szCs w:val="24"/>
          <w:lang w:eastAsia="cs-CZ"/>
        </w:rPr>
        <w:drawing>
          <wp:inline distT="0" distB="0" distL="0" distR="0">
            <wp:extent cx="2385391" cy="28909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96" cy="29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48" w:rsidRPr="007D2548" w:rsidRDefault="007D2548" w:rsidP="007D2548">
      <w:pPr>
        <w:pStyle w:val="Titulek"/>
        <w:jc w:val="center"/>
        <w:rPr>
          <w:b w:val="0"/>
          <w:color w:val="auto"/>
        </w:rPr>
      </w:pPr>
      <w:r w:rsidRPr="007D2548">
        <w:rPr>
          <w:b w:val="0"/>
          <w:color w:val="auto"/>
        </w:rPr>
        <w:t xml:space="preserve">Obrázek </w:t>
      </w:r>
      <w:r w:rsidRPr="007D2548">
        <w:rPr>
          <w:b w:val="0"/>
          <w:color w:val="auto"/>
        </w:rPr>
        <w:fldChar w:fldCharType="begin"/>
      </w:r>
      <w:r w:rsidRPr="007D2548">
        <w:rPr>
          <w:b w:val="0"/>
          <w:color w:val="auto"/>
        </w:rPr>
        <w:instrText xml:space="preserve"> SEQ Obrázek \* ARABIC </w:instrText>
      </w:r>
      <w:r w:rsidRPr="007D2548">
        <w:rPr>
          <w:b w:val="0"/>
          <w:color w:val="auto"/>
        </w:rPr>
        <w:fldChar w:fldCharType="separate"/>
      </w:r>
      <w:r w:rsidRPr="007D2548">
        <w:rPr>
          <w:b w:val="0"/>
          <w:noProof/>
          <w:color w:val="auto"/>
        </w:rPr>
        <w:t>1</w:t>
      </w:r>
      <w:r w:rsidRPr="007D2548">
        <w:rPr>
          <w:b w:val="0"/>
          <w:color w:val="auto"/>
        </w:rPr>
        <w:fldChar w:fldCharType="end"/>
      </w:r>
      <w:r w:rsidRPr="007D2548">
        <w:rPr>
          <w:b w:val="0"/>
          <w:color w:val="auto"/>
        </w:rPr>
        <w:t xml:space="preserve"> </w:t>
      </w:r>
      <w:proofErr w:type="spellStart"/>
      <w:r w:rsidRPr="007D2548">
        <w:rPr>
          <w:b w:val="0"/>
          <w:color w:val="auto"/>
        </w:rPr>
        <w:t>Manipulate</w:t>
      </w:r>
      <w:proofErr w:type="spellEnd"/>
      <w:r w:rsidRPr="007D2548">
        <w:rPr>
          <w:b w:val="0"/>
          <w:color w:val="auto"/>
        </w:rPr>
        <w:t xml:space="preserve"> Stupnice pH</w:t>
      </w:r>
    </w:p>
    <w:sectPr w:rsidR="007D2548" w:rsidRPr="007D2548" w:rsidSect="00723F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43" w:rsidRDefault="00732443" w:rsidP="00914EF1">
      <w:pPr>
        <w:spacing w:before="0" w:after="0" w:line="240" w:lineRule="auto"/>
      </w:pPr>
      <w:r>
        <w:separator/>
      </w:r>
    </w:p>
  </w:endnote>
  <w:endnote w:type="continuationSeparator" w:id="0">
    <w:p w:rsidR="00732443" w:rsidRDefault="00732443" w:rsidP="00914E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43" w:rsidRDefault="00732443" w:rsidP="00914EF1">
      <w:pPr>
        <w:spacing w:before="0" w:after="0" w:line="240" w:lineRule="auto"/>
      </w:pPr>
      <w:r>
        <w:separator/>
      </w:r>
    </w:p>
  </w:footnote>
  <w:footnote w:type="continuationSeparator" w:id="0">
    <w:p w:rsidR="00732443" w:rsidRDefault="00732443" w:rsidP="00914E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F1" w:rsidRDefault="00914EF1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4106"/>
    <w:multiLevelType w:val="hybridMultilevel"/>
    <w:tmpl w:val="A46AE62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B50E6"/>
    <w:multiLevelType w:val="hybridMultilevel"/>
    <w:tmpl w:val="90605E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D32D4D"/>
    <w:multiLevelType w:val="hybridMultilevel"/>
    <w:tmpl w:val="6396F134"/>
    <w:lvl w:ilvl="0" w:tplc="3424B94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CE5850"/>
    <w:multiLevelType w:val="hybridMultilevel"/>
    <w:tmpl w:val="916075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74AB4"/>
    <w:multiLevelType w:val="hybridMultilevel"/>
    <w:tmpl w:val="42EE078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2ED250D"/>
    <w:multiLevelType w:val="hybridMultilevel"/>
    <w:tmpl w:val="46D48BB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620410"/>
    <w:multiLevelType w:val="hybridMultilevel"/>
    <w:tmpl w:val="0D304D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9540D83"/>
    <w:multiLevelType w:val="hybridMultilevel"/>
    <w:tmpl w:val="33802F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FB594E"/>
    <w:multiLevelType w:val="hybridMultilevel"/>
    <w:tmpl w:val="7D7693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689"/>
    <w:rsid w:val="00014D00"/>
    <w:rsid w:val="00072645"/>
    <w:rsid w:val="00095539"/>
    <w:rsid w:val="000D03AB"/>
    <w:rsid w:val="000E20F8"/>
    <w:rsid w:val="001327D2"/>
    <w:rsid w:val="001673A5"/>
    <w:rsid w:val="001721EF"/>
    <w:rsid w:val="00190732"/>
    <w:rsid w:val="001C4EE7"/>
    <w:rsid w:val="00252B15"/>
    <w:rsid w:val="00264089"/>
    <w:rsid w:val="0028503F"/>
    <w:rsid w:val="002866FC"/>
    <w:rsid w:val="00313975"/>
    <w:rsid w:val="00347664"/>
    <w:rsid w:val="003E5478"/>
    <w:rsid w:val="003F6056"/>
    <w:rsid w:val="00425689"/>
    <w:rsid w:val="004457EA"/>
    <w:rsid w:val="00451D67"/>
    <w:rsid w:val="00472F9D"/>
    <w:rsid w:val="004B1A67"/>
    <w:rsid w:val="004E480E"/>
    <w:rsid w:val="004E4D71"/>
    <w:rsid w:val="00503C5D"/>
    <w:rsid w:val="005127D8"/>
    <w:rsid w:val="00547C0E"/>
    <w:rsid w:val="00570762"/>
    <w:rsid w:val="005A06CD"/>
    <w:rsid w:val="006A6BCF"/>
    <w:rsid w:val="006D0682"/>
    <w:rsid w:val="006E6231"/>
    <w:rsid w:val="00707D11"/>
    <w:rsid w:val="00723F7E"/>
    <w:rsid w:val="00732443"/>
    <w:rsid w:val="0076751D"/>
    <w:rsid w:val="007D2548"/>
    <w:rsid w:val="007E263E"/>
    <w:rsid w:val="00807BAA"/>
    <w:rsid w:val="008213AB"/>
    <w:rsid w:val="008A6C0E"/>
    <w:rsid w:val="008C4687"/>
    <w:rsid w:val="008E72AF"/>
    <w:rsid w:val="008F5D8B"/>
    <w:rsid w:val="00906E4B"/>
    <w:rsid w:val="00914EF1"/>
    <w:rsid w:val="00927AF3"/>
    <w:rsid w:val="009B1F3F"/>
    <w:rsid w:val="009E235F"/>
    <w:rsid w:val="009E447C"/>
    <w:rsid w:val="00A56929"/>
    <w:rsid w:val="00A822DE"/>
    <w:rsid w:val="00B12479"/>
    <w:rsid w:val="00B2104A"/>
    <w:rsid w:val="00B34098"/>
    <w:rsid w:val="00BA79EF"/>
    <w:rsid w:val="00BE7FAE"/>
    <w:rsid w:val="00C74BB3"/>
    <w:rsid w:val="00C9350A"/>
    <w:rsid w:val="00CC5820"/>
    <w:rsid w:val="00CD49F0"/>
    <w:rsid w:val="00CE51C8"/>
    <w:rsid w:val="00D14556"/>
    <w:rsid w:val="00D223A6"/>
    <w:rsid w:val="00D52FF7"/>
    <w:rsid w:val="00DC3BDA"/>
    <w:rsid w:val="00DD718B"/>
    <w:rsid w:val="00DE1E2B"/>
    <w:rsid w:val="00E23A7B"/>
    <w:rsid w:val="00E30546"/>
    <w:rsid w:val="00E35CC0"/>
    <w:rsid w:val="00E4609A"/>
    <w:rsid w:val="00E721A0"/>
    <w:rsid w:val="00F81E99"/>
    <w:rsid w:val="00FA7684"/>
    <w:rsid w:val="00FC0084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EF3C2-ACE4-481C-A6CA-AC094D94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6CD"/>
    <w:pPr>
      <w:spacing w:before="120" w:after="120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51C8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1C8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DC3BD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MathematicaFormatTextForm">
    <w:name w:val="MathematicaFormatTextForm"/>
    <w:uiPriority w:val="99"/>
    <w:rsid w:val="00CE51C8"/>
  </w:style>
  <w:style w:type="paragraph" w:styleId="Odstavecseseznamem">
    <w:name w:val="List Paragraph"/>
    <w:basedOn w:val="Normln"/>
    <w:uiPriority w:val="34"/>
    <w:qFormat/>
    <w:rsid w:val="004E4D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305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0546"/>
    <w:rPr>
      <w:color w:val="0000FF"/>
      <w:u w:val="single"/>
    </w:rPr>
  </w:style>
  <w:style w:type="paragraph" w:customStyle="1" w:styleId="MathematicaCellText">
    <w:name w:val="MathematicaCellText"/>
    <w:rsid w:val="000E20F8"/>
    <w:pPr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8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4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EF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14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EF1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1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866F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13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0346D-9487-43C0-AFBE-4390CF28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PK</cp:lastModifiedBy>
  <cp:revision>4</cp:revision>
  <dcterms:created xsi:type="dcterms:W3CDTF">2014-09-08T12:35:00Z</dcterms:created>
  <dcterms:modified xsi:type="dcterms:W3CDTF">2014-09-17T13:12:00Z</dcterms:modified>
</cp:coreProperties>
</file>